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3FAC" w14:textId="0A8BE40F" w:rsidR="00CB7088" w:rsidRPr="00E16546" w:rsidRDefault="00CB7088" w:rsidP="00970B36">
      <w:pPr>
        <w:jc w:val="center"/>
        <w:rPr>
          <w:rFonts w:eastAsia="Times New Roman" w:cstheme="minorHAnsi"/>
          <w:b/>
          <w:caps/>
          <w:color w:val="000000"/>
          <w:sz w:val="24"/>
          <w:szCs w:val="24"/>
        </w:rPr>
      </w:pPr>
      <w:bookmarkStart w:id="0" w:name="_Toc517270399"/>
      <w:bookmarkStart w:id="1" w:name="_Toc45630042"/>
      <w:r w:rsidRPr="00E16546">
        <w:rPr>
          <w:rFonts w:eastAsia="Times New Roman" w:cstheme="minorHAnsi"/>
          <w:b/>
          <w:caps/>
          <w:color w:val="000000"/>
          <w:sz w:val="24"/>
          <w:szCs w:val="24"/>
        </w:rPr>
        <w:t>AUDITOR’S REPORT</w:t>
      </w:r>
      <w:bookmarkEnd w:id="0"/>
      <w:bookmarkEnd w:id="1"/>
    </w:p>
    <w:p w14:paraId="4DBBA422" w14:textId="7B41CE72" w:rsidR="00D63474" w:rsidRDefault="00D63474" w:rsidP="009A1907">
      <w:pPr>
        <w:spacing w:after="0" w:line="240" w:lineRule="auto"/>
        <w:ind w:left="240" w:right="-46"/>
        <w:jc w:val="both"/>
        <w:rPr>
          <w:rFonts w:eastAsia="Palatino Linotype" w:cstheme="minorHAnsi"/>
          <w:b/>
          <w:bCs/>
          <w:szCs w:val="20"/>
        </w:rPr>
      </w:pPr>
      <w:r>
        <w:rPr>
          <w:rFonts w:eastAsia="Palatino Linotype" w:cstheme="minorHAnsi"/>
          <w:b/>
          <w:bCs/>
          <w:szCs w:val="20"/>
        </w:rPr>
        <w:t>Thi</w:t>
      </w:r>
      <w:r w:rsidR="00774EA9">
        <w:rPr>
          <w:rFonts w:eastAsia="Palatino Linotype" w:cstheme="minorHAnsi"/>
          <w:b/>
          <w:bCs/>
          <w:szCs w:val="20"/>
        </w:rPr>
        <w:t>s Auditor’s R</w:t>
      </w:r>
      <w:r>
        <w:rPr>
          <w:rFonts w:eastAsia="Palatino Linotype" w:cstheme="minorHAnsi"/>
          <w:b/>
          <w:bCs/>
          <w:szCs w:val="20"/>
        </w:rPr>
        <w:t xml:space="preserve">eport is provided in accordance with regulation 17(5)(c) of the </w:t>
      </w:r>
      <w:r w:rsidRPr="00D63474">
        <w:rPr>
          <w:rFonts w:eastAsia="Palatino Linotype" w:cstheme="minorHAnsi"/>
          <w:b/>
          <w:bCs/>
          <w:szCs w:val="20"/>
        </w:rPr>
        <w:t xml:space="preserve">Insurance </w:t>
      </w:r>
      <w:r w:rsidRPr="00774EA9">
        <w:rPr>
          <w:rFonts w:eastAsia="Palatino Linotype" w:cstheme="minorHAnsi"/>
          <w:b/>
          <w:bCs/>
          <w:szCs w:val="20"/>
        </w:rPr>
        <w:t>Regulations 2021</w:t>
      </w:r>
      <w:r w:rsidRPr="00774EA9">
        <w:rPr>
          <w:rStyle w:val="FootnoteReference"/>
          <w:rFonts w:eastAsia="MS Mincho" w:cstheme="minorHAnsi"/>
          <w:b/>
          <w:snapToGrid w:val="0"/>
        </w:rPr>
        <w:footnoteReference w:id="1"/>
      </w:r>
      <w:r w:rsidR="00774EA9">
        <w:rPr>
          <w:rFonts w:eastAsia="Palatino Linotype" w:cstheme="minorHAnsi"/>
          <w:b/>
          <w:bCs/>
          <w:szCs w:val="20"/>
        </w:rPr>
        <w:t>.</w:t>
      </w:r>
    </w:p>
    <w:p w14:paraId="054C0A3B" w14:textId="77777777" w:rsidR="00D63474" w:rsidRDefault="00D63474" w:rsidP="009A1907">
      <w:pPr>
        <w:spacing w:after="0" w:line="240" w:lineRule="auto"/>
        <w:ind w:left="240" w:right="-46"/>
        <w:jc w:val="both"/>
        <w:rPr>
          <w:rFonts w:eastAsia="Palatino Linotype" w:cstheme="minorHAnsi"/>
          <w:b/>
          <w:bCs/>
          <w:szCs w:val="20"/>
        </w:rPr>
      </w:pPr>
    </w:p>
    <w:p w14:paraId="5BA17A1B" w14:textId="2812CC06" w:rsidR="00CB7088" w:rsidRPr="00E16546" w:rsidRDefault="00774EA9" w:rsidP="009A1907">
      <w:pPr>
        <w:spacing w:after="0" w:line="240" w:lineRule="auto"/>
        <w:ind w:left="240" w:right="-46"/>
        <w:jc w:val="both"/>
        <w:rPr>
          <w:rFonts w:eastAsia="Palatino Linotype" w:cstheme="minorHAnsi"/>
          <w:b/>
          <w:szCs w:val="20"/>
        </w:rPr>
      </w:pPr>
      <w:r>
        <w:rPr>
          <w:rFonts w:eastAsia="Palatino Linotype" w:cstheme="minorHAnsi"/>
          <w:b/>
          <w:bCs/>
          <w:szCs w:val="20"/>
        </w:rPr>
        <w:t>This Auditor’s Report is an i</w:t>
      </w:r>
      <w:r w:rsidR="00FA2693" w:rsidRPr="00E16546">
        <w:rPr>
          <w:rFonts w:eastAsia="Palatino Linotype" w:cstheme="minorHAnsi"/>
          <w:b/>
          <w:bCs/>
          <w:szCs w:val="20"/>
        </w:rPr>
        <w:t xml:space="preserve">ndependent </w:t>
      </w:r>
      <w:r>
        <w:rPr>
          <w:rFonts w:eastAsia="Palatino Linotype" w:cstheme="minorHAnsi"/>
          <w:b/>
          <w:bCs/>
          <w:szCs w:val="20"/>
        </w:rPr>
        <w:t>a</w:t>
      </w:r>
      <w:r w:rsidR="00CB7088" w:rsidRPr="00E16546">
        <w:rPr>
          <w:rFonts w:eastAsia="Palatino Linotype" w:cstheme="minorHAnsi"/>
          <w:b/>
          <w:bCs/>
          <w:szCs w:val="20"/>
        </w:rPr>
        <w:t>uditor</w:t>
      </w:r>
      <w:r w:rsidR="00781CAA" w:rsidRPr="00E16546">
        <w:rPr>
          <w:rFonts w:eastAsia="Palatino Linotype" w:cstheme="minorHAnsi"/>
          <w:b/>
          <w:bCs/>
          <w:szCs w:val="20"/>
        </w:rPr>
        <w:t>’</w:t>
      </w:r>
      <w:r w:rsidR="00CB7088" w:rsidRPr="00E16546">
        <w:rPr>
          <w:rFonts w:eastAsia="Palatino Linotype" w:cstheme="minorHAnsi"/>
          <w:b/>
          <w:bCs/>
          <w:szCs w:val="20"/>
        </w:rPr>
        <w:t xml:space="preserve">s </w:t>
      </w:r>
      <w:r>
        <w:rPr>
          <w:rFonts w:eastAsia="Palatino Linotype" w:cstheme="minorHAnsi"/>
          <w:b/>
          <w:bCs/>
          <w:szCs w:val="20"/>
        </w:rPr>
        <w:t>a</w:t>
      </w:r>
      <w:r w:rsidR="00FA2693" w:rsidRPr="00E16546">
        <w:rPr>
          <w:rFonts w:eastAsia="Palatino Linotype" w:cstheme="minorHAnsi"/>
          <w:b/>
          <w:bCs/>
          <w:szCs w:val="20"/>
        </w:rPr>
        <w:t xml:space="preserve">ssurance </w:t>
      </w:r>
      <w:r>
        <w:rPr>
          <w:rFonts w:eastAsia="Palatino Linotype" w:cstheme="minorHAnsi"/>
          <w:b/>
          <w:bCs/>
          <w:szCs w:val="20"/>
        </w:rPr>
        <w:t>r</w:t>
      </w:r>
      <w:r w:rsidR="00CB7088" w:rsidRPr="00E16546">
        <w:rPr>
          <w:rFonts w:eastAsia="Palatino Linotype" w:cstheme="minorHAnsi"/>
          <w:b/>
          <w:bCs/>
          <w:szCs w:val="20"/>
        </w:rPr>
        <w:t>eport</w:t>
      </w:r>
      <w:r w:rsidR="003350F2" w:rsidRPr="00E16546">
        <w:rPr>
          <w:rFonts w:eastAsia="Palatino Linotype" w:cstheme="minorHAnsi"/>
          <w:b/>
          <w:bCs/>
          <w:szCs w:val="20"/>
        </w:rPr>
        <w:t xml:space="preserve"> to the Isle of Man Financial Services Authority (“the Authority”)</w:t>
      </w:r>
      <w:r w:rsidR="00CB7088" w:rsidRPr="00E16546">
        <w:rPr>
          <w:rFonts w:eastAsia="Palatino Linotype" w:cstheme="minorHAnsi"/>
          <w:b/>
          <w:bCs/>
          <w:szCs w:val="20"/>
        </w:rPr>
        <w:t xml:space="preserve"> in respect </w:t>
      </w:r>
      <w:r w:rsidR="00CB7088" w:rsidRPr="000A5939">
        <w:rPr>
          <w:rFonts w:eastAsia="Palatino Linotype" w:cstheme="minorHAnsi"/>
          <w:b/>
          <w:bCs/>
          <w:szCs w:val="20"/>
        </w:rPr>
        <w:t xml:space="preserve">of </w:t>
      </w:r>
      <w:permStart w:id="1918396318" w:edGrp="everyone"/>
      <w:r w:rsidR="00CB7088" w:rsidRPr="000A5939">
        <w:rPr>
          <w:rFonts w:eastAsia="Palatino Linotype" w:cstheme="minorHAnsi"/>
          <w:b/>
          <w:bCs/>
          <w:szCs w:val="20"/>
        </w:rPr>
        <w:t>[</w:t>
      </w:r>
      <w:proofErr w:type="gramStart"/>
      <w:r w:rsidR="00CB7088" w:rsidRPr="000A5939">
        <w:rPr>
          <w:rFonts w:eastAsia="Palatino Linotype" w:cstheme="minorHAnsi"/>
          <w:b/>
          <w:bCs/>
          <w:szCs w:val="20"/>
        </w:rPr>
        <w:t>insert</w:t>
      </w:r>
      <w:proofErr w:type="gramEnd"/>
      <w:r w:rsidR="00CB7088" w:rsidRPr="006734D2">
        <w:rPr>
          <w:rFonts w:eastAsia="Palatino Linotype" w:cstheme="minorHAnsi"/>
          <w:b/>
          <w:bCs/>
          <w:szCs w:val="20"/>
        </w:rPr>
        <w:t xml:space="preserve"> </w:t>
      </w:r>
      <w:r w:rsidR="009D172D" w:rsidRPr="006734D2">
        <w:rPr>
          <w:rFonts w:eastAsia="Palatino Linotype" w:cstheme="minorHAnsi"/>
          <w:b/>
          <w:bCs/>
          <w:szCs w:val="20"/>
        </w:rPr>
        <w:t xml:space="preserve">the name of the </w:t>
      </w:r>
      <w:r w:rsidR="00741EE7" w:rsidRPr="006734D2">
        <w:rPr>
          <w:rFonts w:eastAsia="Palatino Linotype" w:cstheme="minorHAnsi"/>
          <w:b/>
          <w:bCs/>
          <w:szCs w:val="20"/>
        </w:rPr>
        <w:t xml:space="preserve">insurer in respect of which this </w:t>
      </w:r>
      <w:r w:rsidR="0078154B" w:rsidRPr="006734D2">
        <w:rPr>
          <w:rFonts w:eastAsia="Palatino Linotype" w:cstheme="minorHAnsi"/>
          <w:b/>
          <w:bCs/>
          <w:szCs w:val="20"/>
        </w:rPr>
        <w:t>report</w:t>
      </w:r>
      <w:r w:rsidR="00741EE7" w:rsidRPr="006734D2">
        <w:rPr>
          <w:rFonts w:eastAsia="Palatino Linotype" w:cstheme="minorHAnsi"/>
          <w:b/>
          <w:bCs/>
          <w:szCs w:val="20"/>
        </w:rPr>
        <w:t xml:space="preserve"> is being provided</w:t>
      </w:r>
      <w:r w:rsidR="00CB7088" w:rsidRPr="006734D2">
        <w:rPr>
          <w:rFonts w:eastAsia="Palatino Linotype" w:cstheme="minorHAnsi"/>
          <w:b/>
          <w:bCs/>
          <w:szCs w:val="20"/>
        </w:rPr>
        <w:t>]</w:t>
      </w:r>
      <w:permEnd w:id="1918396318"/>
      <w:r w:rsidR="00CB7088" w:rsidRPr="00E16546">
        <w:rPr>
          <w:rFonts w:eastAsia="Palatino Linotype" w:cstheme="minorHAnsi"/>
          <w:b/>
          <w:bCs/>
          <w:szCs w:val="20"/>
        </w:rPr>
        <w:t xml:space="preserve"> (</w:t>
      </w:r>
      <w:r w:rsidR="000761AA" w:rsidRPr="00E16546">
        <w:rPr>
          <w:rFonts w:eastAsia="Palatino Linotype" w:cstheme="minorHAnsi"/>
          <w:b/>
          <w:bCs/>
          <w:szCs w:val="20"/>
        </w:rPr>
        <w:t>“</w:t>
      </w:r>
      <w:r w:rsidR="00CB7088" w:rsidRPr="00E16546">
        <w:rPr>
          <w:rFonts w:eastAsia="Palatino Linotype" w:cstheme="minorHAnsi"/>
          <w:b/>
          <w:bCs/>
          <w:szCs w:val="20"/>
        </w:rPr>
        <w:t>the</w:t>
      </w:r>
      <w:r w:rsidR="00CB7088" w:rsidRPr="00E16546">
        <w:rPr>
          <w:rFonts w:eastAsia="Palatino Linotype" w:cstheme="minorHAnsi"/>
          <w:b/>
          <w:bCs/>
          <w:spacing w:val="-16"/>
          <w:szCs w:val="20"/>
        </w:rPr>
        <w:t xml:space="preserve"> </w:t>
      </w:r>
      <w:r w:rsidR="00741EE7" w:rsidRPr="00E16546">
        <w:rPr>
          <w:rFonts w:eastAsia="Palatino Linotype" w:cstheme="minorHAnsi"/>
          <w:b/>
          <w:bCs/>
          <w:szCs w:val="20"/>
        </w:rPr>
        <w:t>Insurer</w:t>
      </w:r>
      <w:r w:rsidR="000761AA" w:rsidRPr="00E16546">
        <w:rPr>
          <w:rFonts w:eastAsia="Palatino Linotype" w:cstheme="minorHAnsi"/>
          <w:b/>
          <w:bCs/>
          <w:szCs w:val="20"/>
        </w:rPr>
        <w:t>”</w:t>
      </w:r>
      <w:r w:rsidR="00CB7088" w:rsidRPr="00E16546">
        <w:rPr>
          <w:rFonts w:eastAsia="Palatino Linotype" w:cstheme="minorHAnsi"/>
          <w:b/>
          <w:bCs/>
          <w:szCs w:val="20"/>
        </w:rPr>
        <w:t>)</w:t>
      </w:r>
      <w:r w:rsidR="001D3F0F" w:rsidRPr="00E16546">
        <w:rPr>
          <w:rFonts w:eastAsia="Palatino Linotype" w:cstheme="minorHAnsi"/>
          <w:b/>
          <w:bCs/>
          <w:szCs w:val="20"/>
        </w:rPr>
        <w:t xml:space="preserve"> for the </w:t>
      </w:r>
      <w:r w:rsidR="001D3F0F" w:rsidRPr="00E16546">
        <w:rPr>
          <w:rFonts w:eastAsia="Times New Roman" w:cstheme="minorHAnsi"/>
          <w:b/>
          <w:snapToGrid w:val="0"/>
          <w:lang w:val="en-US" w:eastAsia="en-GB"/>
        </w:rPr>
        <w:t xml:space="preserve">financial year ended </w:t>
      </w:r>
      <w:permStart w:id="356863748" w:edGrp="everyone"/>
      <w:r w:rsidR="001D3F0F" w:rsidRPr="006734D2">
        <w:rPr>
          <w:rFonts w:eastAsia="Times New Roman" w:cstheme="minorHAnsi"/>
          <w:b/>
          <w:snapToGrid w:val="0"/>
          <w:lang w:val="en-US" w:eastAsia="en-GB"/>
        </w:rPr>
        <w:t>[</w:t>
      </w:r>
      <w:proofErr w:type="gramStart"/>
      <w:r w:rsidR="001D3F0F" w:rsidRPr="006734D2">
        <w:rPr>
          <w:rFonts w:eastAsia="Times New Roman" w:cstheme="minorHAnsi"/>
          <w:b/>
          <w:snapToGrid w:val="0"/>
          <w:lang w:val="en-US" w:eastAsia="en-GB"/>
        </w:rPr>
        <w:t>insert</w:t>
      </w:r>
      <w:proofErr w:type="gramEnd"/>
      <w:r w:rsidR="001D3F0F" w:rsidRPr="006734D2">
        <w:rPr>
          <w:rFonts w:eastAsia="Times New Roman" w:cstheme="minorHAnsi"/>
          <w:snapToGrid w:val="0"/>
          <w:lang w:val="en-US" w:eastAsia="en-GB"/>
        </w:rPr>
        <w:t xml:space="preserve"> </w:t>
      </w:r>
      <w:r w:rsidR="001D3F0F" w:rsidRPr="006734D2">
        <w:rPr>
          <w:rFonts w:eastAsia="Times New Roman" w:cstheme="minorHAnsi"/>
          <w:b/>
          <w:snapToGrid w:val="0"/>
          <w:lang w:val="en-US" w:eastAsia="en-GB"/>
        </w:rPr>
        <w:t>balance sheet date</w:t>
      </w:r>
      <w:r w:rsidR="001D3F0F" w:rsidRPr="006734D2">
        <w:rPr>
          <w:rFonts w:eastAsia="Times New Roman" w:cstheme="minorHAnsi"/>
          <w:snapToGrid w:val="0"/>
          <w:lang w:val="en-US" w:eastAsia="en-GB"/>
        </w:rPr>
        <w:t>]</w:t>
      </w:r>
      <w:permEnd w:id="356863748"/>
      <w:r w:rsidR="003350F2" w:rsidRPr="00E16546">
        <w:rPr>
          <w:rFonts w:eastAsia="Times New Roman" w:cstheme="minorHAnsi"/>
          <w:snapToGrid w:val="0"/>
          <w:lang w:val="en-US" w:eastAsia="en-GB"/>
        </w:rPr>
        <w:t xml:space="preserve"> </w:t>
      </w:r>
      <w:r w:rsidR="003350F2" w:rsidRPr="00E16546">
        <w:rPr>
          <w:rFonts w:eastAsia="Times New Roman" w:cstheme="minorHAnsi"/>
          <w:b/>
          <w:snapToGrid w:val="0"/>
          <w:lang w:val="en-US" w:eastAsia="en-GB"/>
        </w:rPr>
        <w:t>(“the relevant period”)</w:t>
      </w:r>
    </w:p>
    <w:p w14:paraId="23B10F7E" w14:textId="469D88C4" w:rsidR="00CB7088" w:rsidRPr="00E16546" w:rsidRDefault="00CB7088" w:rsidP="003350F2">
      <w:pPr>
        <w:tabs>
          <w:tab w:val="left" w:pos="5955"/>
        </w:tabs>
        <w:suppressAutoHyphens/>
        <w:spacing w:before="80" w:after="0" w:line="240" w:lineRule="auto"/>
        <w:jc w:val="both"/>
        <w:rPr>
          <w:rFonts w:eastAsia="Times New Roman" w:cstheme="minorHAnsi"/>
          <w:snapToGrid w:val="0"/>
        </w:rPr>
      </w:pPr>
      <w:bookmarkStart w:id="2" w:name="_GoBack"/>
      <w:bookmarkEnd w:id="2"/>
    </w:p>
    <w:p w14:paraId="179F7013" w14:textId="768CC533" w:rsidR="00CB7088" w:rsidRPr="00E16546" w:rsidRDefault="00CB7088" w:rsidP="00781CAA">
      <w:pPr>
        <w:suppressAutoHyphens/>
        <w:spacing w:before="80" w:after="0" w:line="240" w:lineRule="auto"/>
        <w:ind w:left="680"/>
        <w:jc w:val="both"/>
        <w:rPr>
          <w:rFonts w:eastAsia="Times New Roman" w:cstheme="minorHAnsi"/>
          <w:snapToGrid w:val="0"/>
          <w:sz w:val="24"/>
          <w:lang w:val="en-US" w:eastAsia="en-GB"/>
        </w:rPr>
      </w:pPr>
      <w:r w:rsidRPr="00E16546">
        <w:rPr>
          <w:rFonts w:eastAsia="Times New Roman" w:cstheme="minorHAnsi"/>
          <w:snapToGrid w:val="0"/>
          <w:lang w:val="en-US" w:eastAsia="en-GB"/>
        </w:rPr>
        <w:t>We have examined the</w:t>
      </w:r>
      <w:r w:rsidR="0024171C" w:rsidRPr="00E16546">
        <w:rPr>
          <w:rFonts w:eastAsia="Times New Roman" w:cstheme="minorHAnsi"/>
          <w:snapToGrid w:val="0"/>
          <w:lang w:val="en-US" w:eastAsia="en-GB"/>
        </w:rPr>
        <w:t xml:space="preserve"> relevant</w:t>
      </w:r>
      <w:r w:rsidRPr="00E16546">
        <w:rPr>
          <w:rFonts w:eastAsia="Times New Roman" w:cstheme="minorHAnsi"/>
          <w:snapToGrid w:val="0"/>
          <w:lang w:val="en-US" w:eastAsia="en-GB"/>
        </w:rPr>
        <w:t xml:space="preserve"> inf</w:t>
      </w:r>
      <w:r w:rsidR="0036700B" w:rsidRPr="00E16546">
        <w:rPr>
          <w:rFonts w:eastAsia="Times New Roman" w:cstheme="minorHAnsi"/>
          <w:snapToGrid w:val="0"/>
          <w:lang w:val="en-US" w:eastAsia="en-GB"/>
        </w:rPr>
        <w:t>ormation furnished</w:t>
      </w:r>
      <w:r w:rsidR="00812F08" w:rsidRPr="00E16546">
        <w:rPr>
          <w:rFonts w:eastAsia="Times New Roman" w:cstheme="minorHAnsi"/>
          <w:snapToGrid w:val="0"/>
          <w:lang w:val="en-US" w:eastAsia="en-GB"/>
        </w:rPr>
        <w:t xml:space="preserve"> pursuant to</w:t>
      </w:r>
      <w:r w:rsidR="0036700B" w:rsidRPr="00E16546">
        <w:rPr>
          <w:rFonts w:eastAsia="Times New Roman" w:cstheme="minorHAnsi"/>
          <w:snapToGrid w:val="0"/>
          <w:lang w:val="en-US" w:eastAsia="en-GB"/>
        </w:rPr>
        <w:t xml:space="preserve"> </w:t>
      </w:r>
      <w:r w:rsidR="00F63549" w:rsidRPr="00E16546">
        <w:rPr>
          <w:rFonts w:eastAsia="Times New Roman" w:cstheme="minorHAnsi"/>
          <w:snapToGrid w:val="0"/>
          <w:lang w:val="en-US" w:eastAsia="en-GB"/>
        </w:rPr>
        <w:t>regulation 17(</w:t>
      </w:r>
      <w:r w:rsidR="009D7242" w:rsidRPr="00E16546">
        <w:rPr>
          <w:rFonts w:eastAsia="Times New Roman" w:cstheme="minorHAnsi"/>
          <w:snapToGrid w:val="0"/>
          <w:lang w:val="en-US" w:eastAsia="en-GB"/>
        </w:rPr>
        <w:t>5</w:t>
      </w:r>
      <w:r w:rsidR="00F63549" w:rsidRPr="00E16546">
        <w:rPr>
          <w:rFonts w:eastAsia="Times New Roman" w:cstheme="minorHAnsi"/>
          <w:snapToGrid w:val="0"/>
          <w:lang w:val="en-US" w:eastAsia="en-GB"/>
        </w:rPr>
        <w:t>)(a)</w:t>
      </w:r>
      <w:r w:rsidR="00503103" w:rsidRPr="00E16546">
        <w:rPr>
          <w:rStyle w:val="FootnoteReference"/>
          <w:rFonts w:eastAsia="Times New Roman" w:cstheme="minorHAnsi"/>
          <w:snapToGrid w:val="0"/>
          <w:lang w:val="en-US" w:eastAsia="en-GB"/>
        </w:rPr>
        <w:footnoteReference w:id="2"/>
      </w:r>
      <w:r w:rsidR="00812F08" w:rsidRPr="00E16546">
        <w:rPr>
          <w:rFonts w:eastAsia="Times New Roman" w:cstheme="minorHAnsi"/>
          <w:snapToGrid w:val="0"/>
          <w:lang w:val="en-US" w:eastAsia="en-GB"/>
        </w:rPr>
        <w:t xml:space="preserve"> </w:t>
      </w:r>
      <w:r w:rsidR="003350F2" w:rsidRPr="00E16546">
        <w:rPr>
          <w:rFonts w:eastAsia="Times New Roman" w:cstheme="minorHAnsi"/>
          <w:snapToGrid w:val="0"/>
          <w:lang w:val="en-US" w:eastAsia="en-GB"/>
        </w:rPr>
        <w:t>for the relevant period</w:t>
      </w:r>
      <w:r w:rsidR="002A0394" w:rsidRPr="00E16546">
        <w:rPr>
          <w:rFonts w:eastAsia="Times New Roman" w:cstheme="minorHAnsi"/>
          <w:snapToGrid w:val="0"/>
          <w:lang w:val="en-US" w:eastAsia="en-GB"/>
        </w:rPr>
        <w:t>.</w:t>
      </w:r>
      <w:r w:rsidR="00AB0EE3" w:rsidRPr="00E16546">
        <w:rPr>
          <w:rFonts w:eastAsia="Times New Roman" w:cstheme="minorHAnsi"/>
          <w:snapToGrid w:val="0"/>
          <w:lang w:val="en-US" w:eastAsia="en-GB"/>
        </w:rPr>
        <w:t xml:space="preserve"> </w:t>
      </w:r>
    </w:p>
    <w:p w14:paraId="1472F85B" w14:textId="2606CE0C" w:rsidR="00CB7088" w:rsidRPr="009D172D" w:rsidRDefault="00FA2693" w:rsidP="000761AA">
      <w:pPr>
        <w:pStyle w:val="IOMScheduleSubSection"/>
        <w:numPr>
          <w:ilvl w:val="1"/>
          <w:numId w:val="2"/>
        </w:numPr>
        <w:rPr>
          <w:color w:val="auto"/>
        </w:rPr>
      </w:pPr>
      <w:r w:rsidRPr="00E16546">
        <w:rPr>
          <w:rFonts w:asciiTheme="minorHAnsi" w:hAnsiTheme="minorHAnsi" w:cstheme="minorHAnsi"/>
          <w:color w:val="auto"/>
        </w:rPr>
        <w:t xml:space="preserve">In our opinion, </w:t>
      </w:r>
      <w:r w:rsidR="00CB7088" w:rsidRPr="00E16546">
        <w:rPr>
          <w:rFonts w:asciiTheme="minorHAnsi" w:hAnsiTheme="minorHAnsi" w:cstheme="minorHAnsi"/>
          <w:color w:val="auto"/>
        </w:rPr>
        <w:t xml:space="preserve">all of the information </w:t>
      </w:r>
      <w:r w:rsidR="00812F08" w:rsidRPr="00E16546">
        <w:rPr>
          <w:rFonts w:asciiTheme="minorHAnsi" w:hAnsiTheme="minorHAnsi" w:cstheme="minorHAnsi"/>
          <w:color w:val="auto"/>
        </w:rPr>
        <w:t xml:space="preserve">included within the scope of </w:t>
      </w:r>
      <w:r w:rsidRPr="00E16546">
        <w:rPr>
          <w:rFonts w:asciiTheme="minorHAnsi" w:hAnsiTheme="minorHAnsi" w:cstheme="minorHAnsi"/>
          <w:color w:val="auto"/>
        </w:rPr>
        <w:t>reasonable assurance</w:t>
      </w:r>
      <w:r w:rsidR="00812F08" w:rsidRPr="00E16546">
        <w:rPr>
          <w:rFonts w:asciiTheme="minorHAnsi" w:hAnsiTheme="minorHAnsi" w:cstheme="minorHAnsi"/>
          <w:color w:val="auto"/>
        </w:rPr>
        <w:t xml:space="preserve"> </w:t>
      </w:r>
      <w:r w:rsidR="000A5CE5" w:rsidRPr="00E16546">
        <w:rPr>
          <w:rFonts w:asciiTheme="minorHAnsi" w:eastAsia="Times New Roman" w:hAnsiTheme="minorHAnsi" w:cstheme="minorHAnsi"/>
          <w:snapToGrid w:val="0"/>
          <w:color w:val="auto"/>
          <w:lang w:val="en-US" w:eastAsia="en-GB"/>
        </w:rPr>
        <w:t xml:space="preserve">as </w:t>
      </w:r>
      <w:r w:rsidR="00812F08" w:rsidRPr="00E16546">
        <w:rPr>
          <w:rFonts w:asciiTheme="minorHAnsi" w:eastAsia="Times New Roman" w:hAnsiTheme="minorHAnsi" w:cstheme="minorHAnsi"/>
          <w:snapToGrid w:val="0"/>
          <w:color w:val="auto"/>
          <w:lang w:val="en-US" w:eastAsia="en-GB"/>
        </w:rPr>
        <w:t xml:space="preserve">determined </w:t>
      </w:r>
      <w:r w:rsidR="000A5CE5" w:rsidRPr="00E16546">
        <w:rPr>
          <w:rFonts w:asciiTheme="minorHAnsi" w:eastAsia="Times New Roman" w:hAnsiTheme="minorHAnsi" w:cstheme="minorHAnsi"/>
          <w:snapToGrid w:val="0"/>
          <w:color w:val="auto"/>
          <w:lang w:val="en-US" w:eastAsia="en-GB"/>
        </w:rPr>
        <w:t>by the Authority</w:t>
      </w:r>
      <w:r w:rsidR="00686A07" w:rsidRPr="00E16546">
        <w:rPr>
          <w:rFonts w:asciiTheme="minorHAnsi" w:eastAsia="Times New Roman" w:hAnsiTheme="minorHAnsi" w:cstheme="minorHAnsi"/>
          <w:snapToGrid w:val="0"/>
          <w:color w:val="auto"/>
          <w:lang w:val="en-US" w:eastAsia="en-GB"/>
        </w:rPr>
        <w:t xml:space="preserve"> </w:t>
      </w:r>
      <w:r w:rsidR="009A4F03" w:rsidRPr="00E16546">
        <w:rPr>
          <w:rFonts w:asciiTheme="minorHAnsi" w:eastAsia="Times New Roman" w:hAnsiTheme="minorHAnsi" w:cstheme="minorHAnsi"/>
          <w:snapToGrid w:val="0"/>
          <w:color w:val="auto"/>
          <w:lang w:val="en-US" w:eastAsia="en-GB"/>
        </w:rPr>
        <w:t>pursuant to regulation 17(5</w:t>
      </w:r>
      <w:r w:rsidR="00686A07" w:rsidRPr="00E16546">
        <w:rPr>
          <w:rFonts w:asciiTheme="minorHAnsi" w:eastAsia="Times New Roman" w:hAnsiTheme="minorHAnsi" w:cstheme="minorHAnsi"/>
          <w:snapToGrid w:val="0"/>
          <w:color w:val="auto"/>
          <w:lang w:val="en-US" w:eastAsia="en-GB"/>
        </w:rPr>
        <w:t>)(a)</w:t>
      </w:r>
      <w:r w:rsidR="00D600BE" w:rsidRPr="00E16546">
        <w:rPr>
          <w:rFonts w:asciiTheme="minorHAnsi" w:eastAsia="Times New Roman" w:hAnsiTheme="minorHAnsi" w:cstheme="minorHAnsi"/>
          <w:snapToGrid w:val="0"/>
          <w:color w:val="auto"/>
          <w:lang w:val="en-US" w:eastAsia="en-GB"/>
        </w:rPr>
        <w:t xml:space="preserve"> (</w:t>
      </w:r>
      <w:r w:rsidR="00D3345D">
        <w:rPr>
          <w:rFonts w:asciiTheme="minorHAnsi" w:eastAsia="Times New Roman" w:hAnsiTheme="minorHAnsi" w:cstheme="minorHAnsi"/>
          <w:snapToGrid w:val="0"/>
          <w:color w:val="auto"/>
          <w:lang w:val="en-US" w:eastAsia="en-GB"/>
        </w:rPr>
        <w:t>as referred to in footnote 2</w:t>
      </w:r>
      <w:r w:rsidR="00503103" w:rsidRPr="00E16546">
        <w:rPr>
          <w:rFonts w:asciiTheme="minorHAnsi" w:eastAsia="Times New Roman" w:hAnsiTheme="minorHAnsi" w:cstheme="minorHAnsi"/>
          <w:snapToGrid w:val="0"/>
          <w:color w:val="auto"/>
          <w:lang w:val="en-US" w:eastAsia="en-GB"/>
        </w:rPr>
        <w:t xml:space="preserve"> and</w:t>
      </w:r>
      <w:r w:rsidR="00812F08" w:rsidRPr="00E16546">
        <w:rPr>
          <w:rFonts w:asciiTheme="minorHAnsi" w:eastAsia="Times New Roman" w:hAnsiTheme="minorHAnsi" w:cstheme="minorHAnsi"/>
          <w:snapToGrid w:val="0"/>
          <w:color w:val="auto"/>
          <w:lang w:val="en-US" w:eastAsia="en-GB"/>
        </w:rPr>
        <w:t xml:space="preserve"> </w:t>
      </w:r>
      <w:r w:rsidR="00CB7088" w:rsidRPr="00E16546">
        <w:rPr>
          <w:rFonts w:asciiTheme="minorHAnsi" w:hAnsiTheme="minorHAnsi" w:cstheme="minorHAnsi"/>
          <w:color w:val="auto"/>
        </w:rPr>
        <w:t xml:space="preserve">as </w:t>
      </w:r>
      <w:r w:rsidR="006134AE" w:rsidRPr="00E16546">
        <w:rPr>
          <w:rFonts w:asciiTheme="minorHAnsi" w:hAnsiTheme="minorHAnsi" w:cstheme="minorHAnsi"/>
          <w:color w:val="auto"/>
        </w:rPr>
        <w:t xml:space="preserve">is </w:t>
      </w:r>
      <w:r w:rsidR="006134AE" w:rsidRPr="00E16546">
        <w:rPr>
          <w:rFonts w:asciiTheme="minorHAnsi" w:hAnsiTheme="minorHAnsi" w:cstheme="minorHAnsi"/>
          <w:snapToGrid w:val="0"/>
          <w:color w:val="auto"/>
        </w:rPr>
        <w:t>applicable</w:t>
      </w:r>
      <w:r w:rsidR="00CB7088" w:rsidRPr="00E16546">
        <w:rPr>
          <w:rFonts w:asciiTheme="minorHAnsi" w:hAnsiTheme="minorHAnsi" w:cstheme="minorHAnsi"/>
          <w:color w:val="auto"/>
        </w:rPr>
        <w:t xml:space="preserve"> to the business carried on by the </w:t>
      </w:r>
      <w:r w:rsidR="000C462C" w:rsidRPr="00E16546">
        <w:rPr>
          <w:rFonts w:asciiTheme="minorHAnsi" w:hAnsiTheme="minorHAnsi" w:cstheme="minorHAnsi"/>
          <w:color w:val="auto"/>
        </w:rPr>
        <w:t>Insurer</w:t>
      </w:r>
      <w:r w:rsidR="00D600BE" w:rsidRPr="00E16546">
        <w:rPr>
          <w:rFonts w:asciiTheme="minorHAnsi" w:hAnsiTheme="minorHAnsi" w:cstheme="minorHAnsi"/>
          <w:color w:val="auto"/>
        </w:rPr>
        <w:t>)</w:t>
      </w:r>
      <w:r w:rsidR="000C462C" w:rsidRPr="00E16546">
        <w:rPr>
          <w:rFonts w:asciiTheme="minorHAnsi" w:hAnsiTheme="minorHAnsi" w:cstheme="minorHAnsi"/>
          <w:color w:val="auto"/>
        </w:rPr>
        <w:t xml:space="preserve"> </w:t>
      </w:r>
      <w:r w:rsidR="00D600BE" w:rsidRPr="00E16546">
        <w:rPr>
          <w:rFonts w:asciiTheme="minorHAnsi" w:hAnsiTheme="minorHAnsi" w:cstheme="minorHAnsi"/>
          <w:color w:val="auto"/>
        </w:rPr>
        <w:t xml:space="preserve">is </w:t>
      </w:r>
      <w:r w:rsidR="00CB7088" w:rsidRPr="00E16546">
        <w:rPr>
          <w:rFonts w:asciiTheme="minorHAnsi" w:hAnsiTheme="minorHAnsi" w:cstheme="minorHAnsi"/>
          <w:color w:val="auto"/>
        </w:rPr>
        <w:t>properly prepared</w:t>
      </w:r>
      <w:r w:rsidR="00D600BE" w:rsidRPr="00E16546">
        <w:rPr>
          <w:rFonts w:asciiTheme="minorHAnsi" w:hAnsiTheme="minorHAnsi" w:cstheme="minorHAnsi"/>
          <w:color w:val="auto"/>
        </w:rPr>
        <w:t>,</w:t>
      </w:r>
      <w:r w:rsidR="00CB7088" w:rsidRPr="00E16546">
        <w:rPr>
          <w:rFonts w:asciiTheme="minorHAnsi" w:hAnsiTheme="minorHAnsi" w:cstheme="minorHAnsi"/>
          <w:color w:val="auto"/>
        </w:rPr>
        <w:t xml:space="preserve"> in all material respects</w:t>
      </w:r>
      <w:r w:rsidR="00D600BE" w:rsidRPr="00E16546">
        <w:rPr>
          <w:rFonts w:asciiTheme="minorHAnsi" w:hAnsiTheme="minorHAnsi" w:cstheme="minorHAnsi"/>
          <w:color w:val="auto"/>
        </w:rPr>
        <w:t xml:space="preserve">, based on the </w:t>
      </w:r>
      <w:r w:rsidR="00ED216E" w:rsidRPr="00E16546">
        <w:rPr>
          <w:rFonts w:asciiTheme="minorHAnsi" w:hAnsiTheme="minorHAnsi" w:cstheme="minorHAnsi"/>
          <w:color w:val="auto"/>
        </w:rPr>
        <w:t xml:space="preserve">published </w:t>
      </w:r>
      <w:r w:rsidR="00D600BE" w:rsidRPr="00E16546">
        <w:rPr>
          <w:rFonts w:asciiTheme="minorHAnsi" w:hAnsiTheme="minorHAnsi" w:cstheme="minorHAnsi"/>
          <w:color w:val="auto"/>
        </w:rPr>
        <w:t>requirements of the Authority</w:t>
      </w:r>
      <w:r w:rsidR="00ED216E" w:rsidRPr="00E16546">
        <w:rPr>
          <w:rFonts w:asciiTheme="minorHAnsi" w:hAnsiTheme="minorHAnsi" w:cstheme="minorHAnsi"/>
          <w:color w:val="auto"/>
        </w:rPr>
        <w:t xml:space="preserve"> referred to</w:t>
      </w:r>
      <w:r w:rsidRPr="009D172D">
        <w:rPr>
          <w:color w:val="auto"/>
        </w:rPr>
        <w:t>.</w:t>
      </w:r>
    </w:p>
    <w:p w14:paraId="19AE7AAD" w14:textId="25ABDE89" w:rsidR="00CB7088" w:rsidRPr="009D172D" w:rsidRDefault="00FA2693" w:rsidP="00ED216E">
      <w:pPr>
        <w:pStyle w:val="IOMScheduleSubSection"/>
        <w:numPr>
          <w:ilvl w:val="1"/>
          <w:numId w:val="2"/>
        </w:numPr>
        <w:rPr>
          <w:color w:val="auto"/>
        </w:rPr>
      </w:pPr>
      <w:r w:rsidRPr="00E16546">
        <w:rPr>
          <w:rFonts w:asciiTheme="minorHAnsi" w:hAnsiTheme="minorHAnsi" w:cstheme="minorHAnsi"/>
          <w:color w:val="auto"/>
        </w:rPr>
        <w:t>B</w:t>
      </w:r>
      <w:r w:rsidR="00D600BE" w:rsidRPr="00E16546">
        <w:rPr>
          <w:rFonts w:asciiTheme="minorHAnsi" w:hAnsiTheme="minorHAnsi" w:cstheme="minorHAnsi"/>
          <w:color w:val="auto"/>
        </w:rPr>
        <w:t xml:space="preserve">ased on the procedures performed and evidence obtained, </w:t>
      </w:r>
      <w:r w:rsidR="00CB7088" w:rsidRPr="00E16546">
        <w:rPr>
          <w:rFonts w:asciiTheme="minorHAnsi" w:hAnsiTheme="minorHAnsi" w:cstheme="minorHAnsi"/>
          <w:color w:val="auto"/>
        </w:rPr>
        <w:t>nothing has come to our attention that</w:t>
      </w:r>
      <w:r w:rsidR="00ED216E" w:rsidRPr="00E16546">
        <w:rPr>
          <w:rFonts w:asciiTheme="minorHAnsi" w:hAnsiTheme="minorHAnsi" w:cstheme="minorHAnsi"/>
          <w:color w:val="auto"/>
        </w:rPr>
        <w:t xml:space="preserve"> causes us to believe that, in </w:t>
      </w:r>
      <w:r w:rsidR="00CB7088" w:rsidRPr="00E16546">
        <w:rPr>
          <w:rFonts w:asciiTheme="minorHAnsi" w:hAnsiTheme="minorHAnsi" w:cstheme="minorHAnsi"/>
        </w:rPr>
        <w:t xml:space="preserve">giving the certificate </w:t>
      </w:r>
      <w:r w:rsidR="003D0854" w:rsidRPr="00E16546">
        <w:rPr>
          <w:rFonts w:asciiTheme="minorHAnsi" w:hAnsiTheme="minorHAnsi" w:cstheme="minorHAnsi"/>
        </w:rPr>
        <w:t xml:space="preserve">referred to in </w:t>
      </w:r>
      <w:r w:rsidR="00CB7088" w:rsidRPr="00E16546">
        <w:rPr>
          <w:rFonts w:asciiTheme="minorHAnsi" w:hAnsiTheme="minorHAnsi" w:cstheme="minorHAnsi"/>
        </w:rPr>
        <w:t xml:space="preserve">regulation </w:t>
      </w:r>
      <w:r w:rsidR="003F7664" w:rsidRPr="00E16546">
        <w:rPr>
          <w:rFonts w:asciiTheme="minorHAnsi" w:eastAsia="Times New Roman" w:hAnsiTheme="minorHAnsi" w:cstheme="minorHAnsi"/>
        </w:rPr>
        <w:t>17</w:t>
      </w:r>
      <w:r w:rsidR="00741EE7" w:rsidRPr="00E16546">
        <w:rPr>
          <w:rFonts w:asciiTheme="minorHAnsi" w:eastAsia="Times New Roman" w:hAnsiTheme="minorHAnsi" w:cstheme="minorHAnsi"/>
        </w:rPr>
        <w:t>(5)(b</w:t>
      </w:r>
      <w:r w:rsidR="0036700B" w:rsidRPr="00E16546">
        <w:rPr>
          <w:rFonts w:asciiTheme="minorHAnsi" w:eastAsia="Times New Roman" w:hAnsiTheme="minorHAnsi" w:cstheme="minorHAnsi"/>
        </w:rPr>
        <w:t xml:space="preserve">) </w:t>
      </w:r>
      <w:r w:rsidR="00812F08" w:rsidRPr="00E16546">
        <w:rPr>
          <w:rFonts w:asciiTheme="minorHAnsi" w:eastAsia="Times New Roman" w:hAnsiTheme="minorHAnsi" w:cstheme="minorHAnsi"/>
        </w:rPr>
        <w:t xml:space="preserve">(“the </w:t>
      </w:r>
      <w:r w:rsidR="00812F08" w:rsidRPr="00E16546">
        <w:rPr>
          <w:rFonts w:asciiTheme="minorHAnsi" w:eastAsia="Times New Roman" w:hAnsiTheme="minorHAnsi" w:cstheme="minorHAnsi"/>
          <w:color w:val="auto"/>
        </w:rPr>
        <w:t>Directors</w:t>
      </w:r>
      <w:r w:rsidR="00774EA9">
        <w:rPr>
          <w:rFonts w:asciiTheme="minorHAnsi" w:eastAsia="Times New Roman" w:hAnsiTheme="minorHAnsi" w:cstheme="minorHAnsi"/>
          <w:color w:val="auto"/>
        </w:rPr>
        <w:t>’</w:t>
      </w:r>
      <w:r w:rsidR="00812F08" w:rsidRPr="00E16546">
        <w:rPr>
          <w:rFonts w:asciiTheme="minorHAnsi" w:eastAsia="Times New Roman" w:hAnsiTheme="minorHAnsi" w:cstheme="minorHAnsi"/>
          <w:color w:val="auto"/>
        </w:rPr>
        <w:t xml:space="preserve"> Certificate”)</w:t>
      </w:r>
      <w:r w:rsidR="00ED216E" w:rsidRPr="00E16546">
        <w:rPr>
          <w:rFonts w:asciiTheme="minorHAnsi" w:eastAsia="Times New Roman" w:hAnsiTheme="minorHAnsi" w:cstheme="minorHAnsi"/>
          <w:color w:val="auto"/>
        </w:rPr>
        <w:t>,</w:t>
      </w:r>
      <w:r w:rsidR="00ED216E" w:rsidRPr="00E16546">
        <w:rPr>
          <w:rFonts w:asciiTheme="minorHAnsi" w:hAnsiTheme="minorHAnsi" w:cstheme="minorHAnsi"/>
          <w:color w:val="auto"/>
        </w:rPr>
        <w:t xml:space="preserve"> the directors’</w:t>
      </w:r>
      <w:r w:rsidR="00812F08" w:rsidRPr="00E16546">
        <w:rPr>
          <w:rFonts w:asciiTheme="minorHAnsi" w:hAnsiTheme="minorHAnsi" w:cstheme="minorHAnsi"/>
          <w:color w:val="auto"/>
        </w:rPr>
        <w:t xml:space="preserve"> </w:t>
      </w:r>
      <w:r w:rsidR="00CB7088" w:rsidRPr="00E16546">
        <w:rPr>
          <w:rFonts w:asciiTheme="minorHAnsi" w:hAnsiTheme="minorHAnsi" w:cstheme="minorHAnsi"/>
          <w:color w:val="auto"/>
        </w:rPr>
        <w:t>statements contained in paragraph</w:t>
      </w:r>
      <w:r w:rsidR="009A1D4C" w:rsidRPr="00E16546">
        <w:rPr>
          <w:rFonts w:asciiTheme="minorHAnsi" w:hAnsiTheme="minorHAnsi" w:cstheme="minorHAnsi"/>
          <w:color w:val="auto"/>
        </w:rPr>
        <w:t>s</w:t>
      </w:r>
      <w:r w:rsidR="00CB7088" w:rsidRPr="00E16546">
        <w:rPr>
          <w:rFonts w:asciiTheme="minorHAnsi" w:hAnsiTheme="minorHAnsi" w:cstheme="minorHAnsi"/>
          <w:color w:val="auto"/>
        </w:rPr>
        <w:t xml:space="preserve"> </w:t>
      </w:r>
      <w:r w:rsidR="009A1D4C" w:rsidRPr="00E16546">
        <w:rPr>
          <w:rFonts w:asciiTheme="minorHAnsi" w:hAnsiTheme="minorHAnsi" w:cstheme="minorHAnsi"/>
          <w:color w:val="auto"/>
        </w:rPr>
        <w:t>(</w:t>
      </w:r>
      <w:r w:rsidR="003F7664" w:rsidRPr="00E16546">
        <w:rPr>
          <w:rFonts w:asciiTheme="minorHAnsi" w:hAnsiTheme="minorHAnsi" w:cstheme="minorHAnsi"/>
          <w:color w:val="auto"/>
        </w:rPr>
        <w:t>2</w:t>
      </w:r>
      <w:r w:rsidR="009A1D4C" w:rsidRPr="00E16546">
        <w:rPr>
          <w:rFonts w:asciiTheme="minorHAnsi" w:hAnsiTheme="minorHAnsi" w:cstheme="minorHAnsi"/>
          <w:color w:val="auto"/>
        </w:rPr>
        <w:t>) and (3)</w:t>
      </w:r>
      <w:r w:rsidR="00CB7088" w:rsidRPr="00E16546">
        <w:rPr>
          <w:rFonts w:asciiTheme="minorHAnsi" w:hAnsiTheme="minorHAnsi" w:cstheme="minorHAnsi"/>
          <w:color w:val="auto"/>
        </w:rPr>
        <w:t xml:space="preserve"> of that certificate</w:t>
      </w:r>
      <w:r w:rsidR="00ED216E" w:rsidRPr="00E16546">
        <w:rPr>
          <w:rFonts w:asciiTheme="minorHAnsi" w:hAnsiTheme="minorHAnsi" w:cstheme="minorHAnsi"/>
          <w:color w:val="auto"/>
        </w:rPr>
        <w:t>, are not, in all material respects, fairly stated</w:t>
      </w:r>
      <w:r w:rsidR="00CB7088" w:rsidRPr="009D172D">
        <w:rPr>
          <w:color w:val="auto"/>
        </w:rPr>
        <w:t>.</w:t>
      </w:r>
    </w:p>
    <w:p w14:paraId="29D21754" w14:textId="77777777" w:rsidR="006734D2" w:rsidRDefault="006734D2" w:rsidP="006734D2">
      <w:pPr>
        <w:spacing w:after="0" w:line="240" w:lineRule="auto"/>
        <w:ind w:left="240" w:right="-46"/>
        <w:jc w:val="both"/>
        <w:rPr>
          <w:rFonts w:eastAsia="Times New Roman"/>
          <w:b/>
          <w:snapToGrid w:val="0"/>
          <w:sz w:val="24"/>
          <w:szCs w:val="20"/>
          <w:lang w:val="en-US" w:eastAsia="en-GB"/>
        </w:rPr>
      </w:pPr>
    </w:p>
    <w:p w14:paraId="0B757830" w14:textId="0BB49558" w:rsidR="009D172D" w:rsidRPr="006734D2" w:rsidRDefault="006734D2" w:rsidP="006734D2">
      <w:pPr>
        <w:pBdr>
          <w:top w:val="single" w:sz="4" w:space="1" w:color="auto"/>
          <w:left w:val="single" w:sz="4" w:space="4" w:color="auto"/>
          <w:bottom w:val="single" w:sz="4" w:space="1" w:color="auto"/>
          <w:right w:val="single" w:sz="4" w:space="4" w:color="auto"/>
        </w:pBdr>
        <w:spacing w:after="0" w:line="240" w:lineRule="auto"/>
        <w:ind w:left="240" w:right="-46"/>
        <w:jc w:val="both"/>
        <w:rPr>
          <w:rFonts w:eastAsia="Times New Roman"/>
          <w:snapToGrid w:val="0"/>
          <w:szCs w:val="20"/>
          <w:lang w:val="en-US" w:eastAsia="en-GB"/>
        </w:rPr>
      </w:pPr>
      <w:permStart w:id="1491744029" w:edGrp="everyone"/>
      <w:r w:rsidRPr="006734D2">
        <w:rPr>
          <w:rFonts w:eastAsia="Times New Roman"/>
          <w:snapToGrid w:val="0"/>
          <w:sz w:val="24"/>
          <w:szCs w:val="20"/>
          <w:lang w:val="en-US" w:eastAsia="en-GB"/>
        </w:rPr>
        <w:t>[Enter any additional matters here which are relevant to the reasonable assurance under paragraph (1) or limited assurance under paragraph (2) (as the case may be) which the Auditor believes to be necessary and appropriate in accordance with the relevant ISAE 3000 and in accordance with the current Guidance in relation to Auditor’s Reports of insurers to be provided to the Isle of Man Financial Services Authority under the requirements of the Insurance Regulations 2021.  Any such matters must explain their relevance to, and clearly state whether or not they limit in any way, the reasonable assurance under paragraph (1) or limited assurance under paragraph (2) (as the case may be).]</w:t>
      </w:r>
      <w:permEnd w:id="1491744029"/>
    </w:p>
    <w:p w14:paraId="7E7121AD" w14:textId="77777777" w:rsidR="00E16546" w:rsidRDefault="00E16546" w:rsidP="00781CAA">
      <w:pPr>
        <w:tabs>
          <w:tab w:val="left" w:pos="540"/>
          <w:tab w:val="left" w:pos="900"/>
          <w:tab w:val="left" w:pos="1260"/>
        </w:tabs>
        <w:spacing w:after="40" w:line="240" w:lineRule="auto"/>
        <w:ind w:left="540" w:hanging="540"/>
        <w:jc w:val="both"/>
        <w:rPr>
          <w:rFonts w:eastAsia="Times New Roman" w:cstheme="minorHAnsi"/>
          <w:snapToGrid w:val="0"/>
          <w:lang w:val="en-US" w:eastAsia="en-GB"/>
        </w:rPr>
      </w:pPr>
    </w:p>
    <w:p w14:paraId="63F9BCA5" w14:textId="2E11FC5E" w:rsidR="00CB7088" w:rsidRPr="00E16546" w:rsidRDefault="00CB7088" w:rsidP="00781CAA">
      <w:pPr>
        <w:tabs>
          <w:tab w:val="left" w:pos="540"/>
          <w:tab w:val="left" w:pos="900"/>
          <w:tab w:val="left" w:pos="1260"/>
        </w:tabs>
        <w:spacing w:after="40" w:line="240" w:lineRule="auto"/>
        <w:ind w:left="540" w:hanging="540"/>
        <w:jc w:val="both"/>
        <w:rPr>
          <w:rFonts w:eastAsia="Times New Roman" w:cstheme="minorHAnsi"/>
          <w:snapToGrid w:val="0"/>
          <w:lang w:val="en-US" w:eastAsia="en-GB"/>
        </w:rPr>
      </w:pPr>
      <w:r w:rsidRPr="00E16546">
        <w:rPr>
          <w:rFonts w:eastAsia="Times New Roman" w:cstheme="minorHAnsi"/>
          <w:snapToGrid w:val="0"/>
          <w:lang w:val="en-US" w:eastAsia="en-GB"/>
        </w:rPr>
        <w:t>Signed</w:t>
      </w:r>
      <w:r w:rsidR="00E85EF4">
        <w:rPr>
          <w:rFonts w:eastAsia="Times New Roman" w:cstheme="minorHAnsi"/>
          <w:snapToGrid w:val="0"/>
          <w:lang w:val="en-US" w:eastAsia="en-GB"/>
        </w:rPr>
        <w:t xml:space="preserve"> </w:t>
      </w:r>
      <w:permStart w:id="415848811" w:edGrp="everyone"/>
      <w:r w:rsidR="00E85EF4" w:rsidRPr="006734D2">
        <w:rPr>
          <w:rFonts w:eastAsia="Times New Roman" w:cstheme="minorHAnsi"/>
          <w:snapToGrid w:val="0"/>
          <w:lang w:val="en-US" w:eastAsia="en-GB"/>
        </w:rPr>
        <w:t>[</w:t>
      </w:r>
      <w:proofErr w:type="gramStart"/>
      <w:r w:rsidR="00E85EF4" w:rsidRPr="006734D2">
        <w:rPr>
          <w:rFonts w:eastAsia="Times New Roman" w:cstheme="minorHAnsi"/>
          <w:snapToGrid w:val="0"/>
          <w:lang w:val="en-US" w:eastAsia="en-GB"/>
        </w:rPr>
        <w:t>signature</w:t>
      </w:r>
      <w:proofErr w:type="gramEnd"/>
      <w:r w:rsidR="00E85EF4" w:rsidRPr="006734D2">
        <w:rPr>
          <w:rFonts w:eastAsia="Times New Roman" w:cstheme="minorHAnsi"/>
          <w:snapToGrid w:val="0"/>
          <w:lang w:val="en-US" w:eastAsia="en-GB"/>
        </w:rPr>
        <w:t>]</w:t>
      </w:r>
      <w:permEnd w:id="415848811"/>
    </w:p>
    <w:p w14:paraId="1E201A1E" w14:textId="7CDB70B5" w:rsidR="00781CAA" w:rsidRPr="00E16546" w:rsidRDefault="006A3F6C" w:rsidP="006A3F6C">
      <w:pPr>
        <w:tabs>
          <w:tab w:val="left" w:pos="540"/>
          <w:tab w:val="left" w:pos="900"/>
          <w:tab w:val="left" w:pos="1260"/>
        </w:tabs>
        <w:spacing w:after="40" w:line="240" w:lineRule="auto"/>
        <w:ind w:left="540" w:hanging="540"/>
        <w:jc w:val="both"/>
        <w:rPr>
          <w:rFonts w:eastAsia="Times New Roman" w:cstheme="minorHAnsi"/>
          <w:snapToGrid w:val="0"/>
          <w:lang w:val="en-US" w:eastAsia="en-GB"/>
        </w:rPr>
      </w:pPr>
      <w:r w:rsidRPr="00E16546">
        <w:rPr>
          <w:rFonts w:eastAsia="Times New Roman" w:cstheme="minorHAnsi"/>
          <w:snapToGrid w:val="0"/>
          <w:lang w:val="en-US" w:eastAsia="en-GB"/>
        </w:rPr>
        <w:t>Qualification</w:t>
      </w:r>
      <w:r w:rsidR="00E85EF4">
        <w:rPr>
          <w:rFonts w:eastAsia="Times New Roman" w:cstheme="minorHAnsi"/>
          <w:snapToGrid w:val="0"/>
          <w:lang w:val="en-US" w:eastAsia="en-GB"/>
        </w:rPr>
        <w:t xml:space="preserve"> </w:t>
      </w:r>
      <w:permStart w:id="273614961" w:edGrp="everyone"/>
      <w:r w:rsidR="00E85EF4" w:rsidRPr="006734D2">
        <w:rPr>
          <w:rFonts w:eastAsia="Times New Roman" w:cstheme="minorHAnsi"/>
          <w:snapToGrid w:val="0"/>
          <w:lang w:val="en-US" w:eastAsia="en-GB"/>
        </w:rPr>
        <w:t>[</w:t>
      </w:r>
      <w:proofErr w:type="gramStart"/>
      <w:r w:rsidR="00E85EF4" w:rsidRPr="006734D2">
        <w:rPr>
          <w:rFonts w:eastAsia="Times New Roman" w:cstheme="minorHAnsi"/>
          <w:snapToGrid w:val="0"/>
          <w:lang w:val="en-US" w:eastAsia="en-GB"/>
        </w:rPr>
        <w:t>state</w:t>
      </w:r>
      <w:proofErr w:type="gramEnd"/>
      <w:r w:rsidR="00E85EF4" w:rsidRPr="006734D2">
        <w:rPr>
          <w:rFonts w:eastAsia="Times New Roman" w:cstheme="minorHAnsi"/>
          <w:snapToGrid w:val="0"/>
          <w:lang w:val="en-US" w:eastAsia="en-GB"/>
        </w:rPr>
        <w:t xml:space="preserve"> relevant qualification]</w:t>
      </w:r>
      <w:permEnd w:id="273614961"/>
    </w:p>
    <w:p w14:paraId="121004FE" w14:textId="280FF9DB" w:rsidR="00781CAA" w:rsidRPr="00E16546" w:rsidRDefault="00781CAA" w:rsidP="00781CAA">
      <w:pPr>
        <w:tabs>
          <w:tab w:val="left" w:pos="540"/>
          <w:tab w:val="left" w:pos="900"/>
          <w:tab w:val="left" w:pos="1260"/>
        </w:tabs>
        <w:spacing w:after="40" w:line="240" w:lineRule="auto"/>
        <w:ind w:left="540" w:hanging="540"/>
        <w:jc w:val="both"/>
        <w:rPr>
          <w:rFonts w:eastAsia="Times New Roman" w:cstheme="minorHAnsi"/>
          <w:snapToGrid w:val="0"/>
          <w:lang w:val="en-US" w:eastAsia="en-GB"/>
        </w:rPr>
      </w:pPr>
      <w:r w:rsidRPr="00E16546">
        <w:rPr>
          <w:rFonts w:eastAsia="Times New Roman" w:cstheme="minorHAnsi"/>
          <w:snapToGrid w:val="0"/>
          <w:lang w:val="en-US" w:eastAsia="en-GB"/>
        </w:rPr>
        <w:t>Date</w:t>
      </w:r>
      <w:r w:rsidR="00E85EF4">
        <w:rPr>
          <w:rFonts w:eastAsia="Times New Roman" w:cstheme="minorHAnsi"/>
          <w:snapToGrid w:val="0"/>
          <w:lang w:val="en-US" w:eastAsia="en-GB"/>
        </w:rPr>
        <w:t xml:space="preserve"> </w:t>
      </w:r>
      <w:permStart w:id="993942962" w:edGrp="everyone"/>
      <w:r w:rsidR="00E85EF4" w:rsidRPr="006734D2">
        <w:rPr>
          <w:rFonts w:eastAsia="Times New Roman" w:cstheme="minorHAnsi"/>
          <w:snapToGrid w:val="0"/>
          <w:lang w:val="en-US" w:eastAsia="en-GB"/>
        </w:rPr>
        <w:t>[</w:t>
      </w:r>
      <w:proofErr w:type="gramStart"/>
      <w:r w:rsidR="00E85EF4" w:rsidRPr="006734D2">
        <w:rPr>
          <w:rFonts w:eastAsia="Times New Roman" w:cstheme="minorHAnsi"/>
          <w:snapToGrid w:val="0"/>
          <w:lang w:val="en-US" w:eastAsia="en-GB"/>
        </w:rPr>
        <w:t>insert</w:t>
      </w:r>
      <w:proofErr w:type="gramEnd"/>
      <w:r w:rsidR="00E85EF4" w:rsidRPr="006734D2">
        <w:rPr>
          <w:rFonts w:eastAsia="Times New Roman" w:cstheme="minorHAnsi"/>
          <w:snapToGrid w:val="0"/>
          <w:lang w:val="en-US" w:eastAsia="en-GB"/>
        </w:rPr>
        <w:t xml:space="preserve"> date of signing]</w:t>
      </w:r>
      <w:permEnd w:id="993942962"/>
    </w:p>
    <w:sectPr w:rsidR="00781CAA" w:rsidRPr="00E16546">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02005" w16cex:dateUtc="2022-04-12T14:57:00Z"/>
  <w16cex:commentExtensible w16cex:durableId="260020F7" w16cex:dateUtc="2022-04-12T15:01:00Z"/>
  <w16cex:commentExtensible w16cex:durableId="26001F2F" w16cex:dateUtc="2022-04-12T14:54:00Z"/>
  <w16cex:commentExtensible w16cex:durableId="26001F46" w16cex:dateUtc="2022-04-12T14:54:00Z"/>
  <w16cex:commentExtensible w16cex:durableId="26002474" w16cex:dateUtc="2022-04-12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77E8CC" w16cid:durableId="26002005"/>
  <w16cid:commentId w16cid:paraId="6D3F0EC9" w16cid:durableId="260020F7"/>
  <w16cid:commentId w16cid:paraId="4B9DE8B6" w16cid:durableId="26001F19"/>
  <w16cid:commentId w16cid:paraId="7C3AA07F" w16cid:durableId="26001F2F"/>
  <w16cid:commentId w16cid:paraId="653BF6C1" w16cid:durableId="26001F1A"/>
  <w16cid:commentId w16cid:paraId="3AABB2B7" w16cid:durableId="26001F46"/>
  <w16cid:commentId w16cid:paraId="140B5942" w16cid:durableId="26002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E3147" w14:textId="77777777" w:rsidR="00346AAA" w:rsidRDefault="00346AAA" w:rsidP="00812F08">
      <w:pPr>
        <w:spacing w:after="0" w:line="240" w:lineRule="auto"/>
      </w:pPr>
      <w:r>
        <w:separator/>
      </w:r>
    </w:p>
  </w:endnote>
  <w:endnote w:type="continuationSeparator" w:id="0">
    <w:p w14:paraId="448155AF" w14:textId="77777777" w:rsidR="00346AAA" w:rsidRDefault="00346AAA" w:rsidP="0081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IOM">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488DD" w14:textId="77777777" w:rsidR="00346AAA" w:rsidRDefault="00346AAA" w:rsidP="00812F08">
      <w:pPr>
        <w:spacing w:after="0" w:line="240" w:lineRule="auto"/>
      </w:pPr>
      <w:r>
        <w:separator/>
      </w:r>
    </w:p>
  </w:footnote>
  <w:footnote w:type="continuationSeparator" w:id="0">
    <w:p w14:paraId="51304448" w14:textId="77777777" w:rsidR="00346AAA" w:rsidRDefault="00346AAA" w:rsidP="00812F08">
      <w:pPr>
        <w:spacing w:after="0" w:line="240" w:lineRule="auto"/>
      </w:pPr>
      <w:r>
        <w:continuationSeparator/>
      </w:r>
    </w:p>
  </w:footnote>
  <w:footnote w:id="1">
    <w:p w14:paraId="58757680" w14:textId="77777777" w:rsidR="00D63474" w:rsidRDefault="00D63474" w:rsidP="00D63474">
      <w:pPr>
        <w:pStyle w:val="FootnoteText"/>
        <w:jc w:val="both"/>
      </w:pPr>
      <w:r w:rsidRPr="009D172D">
        <w:rPr>
          <w:rStyle w:val="FootnoteReference"/>
        </w:rPr>
        <w:footnoteRef/>
      </w:r>
      <w:r w:rsidRPr="009D172D">
        <w:t xml:space="preserve"> Any reference to a regulation </w:t>
      </w:r>
      <w:r w:rsidRPr="009A1907">
        <w:t>within this report is in respect of the Insurance Regulations 202</w:t>
      </w:r>
      <w:r>
        <w:t>1</w:t>
      </w:r>
      <w:r w:rsidRPr="009A1907">
        <w:t>.</w:t>
      </w:r>
    </w:p>
  </w:footnote>
  <w:footnote w:id="2">
    <w:p w14:paraId="3A328697" w14:textId="6E077025" w:rsidR="004F0035" w:rsidRPr="009D172D" w:rsidRDefault="00503103" w:rsidP="009A1907">
      <w:pPr>
        <w:pStyle w:val="FootnoteText"/>
        <w:tabs>
          <w:tab w:val="left" w:pos="5387"/>
        </w:tabs>
        <w:jc w:val="both"/>
      </w:pPr>
      <w:r w:rsidRPr="009A1907">
        <w:rPr>
          <w:rStyle w:val="FootnoteReference"/>
        </w:rPr>
        <w:footnoteRef/>
      </w:r>
      <w:r w:rsidRPr="009A1907">
        <w:t xml:space="preserve"> Regulation 17(5)(a)</w:t>
      </w:r>
      <w:r w:rsidR="009D172D" w:rsidRPr="009D172D">
        <w:t xml:space="preserve"> </w:t>
      </w:r>
      <w:r w:rsidRPr="009A1907">
        <w:t>refers to regulatory reporting requirements published by the Authority under regulation 17(4), pursuant to regulation 17(1)(</w:t>
      </w:r>
      <w:r w:rsidR="009D7242" w:rsidRPr="009A1907">
        <w:t>a</w:t>
      </w:r>
      <w:r w:rsidRPr="009A1907">
        <w:t xml:space="preserve">) (“annual return”). Those information requirements are set out in </w:t>
      </w:r>
      <w:r w:rsidRPr="00541A79">
        <w:t>document</w:t>
      </w:r>
      <w:r w:rsidR="004F0035">
        <w:t>–</w:t>
      </w:r>
    </w:p>
    <w:p w14:paraId="066D4464" w14:textId="02CF83AB" w:rsidR="004F0035" w:rsidRPr="009D172D" w:rsidRDefault="00F455D4" w:rsidP="004F0035">
      <w:pPr>
        <w:pStyle w:val="FootnoteText"/>
        <w:numPr>
          <w:ilvl w:val="0"/>
          <w:numId w:val="4"/>
        </w:numPr>
        <w:tabs>
          <w:tab w:val="left" w:pos="5387"/>
        </w:tabs>
        <w:jc w:val="both"/>
      </w:pPr>
      <w:r w:rsidRPr="009D172D">
        <w:t>LTB_Return</w:t>
      </w:r>
      <w:r w:rsidR="004F0035" w:rsidRPr="009D172D">
        <w:t>;</w:t>
      </w:r>
    </w:p>
    <w:p w14:paraId="2EEB9AD0" w14:textId="7D21F586" w:rsidR="004F0035" w:rsidRPr="009D172D" w:rsidRDefault="00F455D4" w:rsidP="004F0035">
      <w:pPr>
        <w:pStyle w:val="FootnoteText"/>
        <w:numPr>
          <w:ilvl w:val="0"/>
          <w:numId w:val="4"/>
        </w:numPr>
        <w:tabs>
          <w:tab w:val="left" w:pos="5387"/>
        </w:tabs>
        <w:jc w:val="both"/>
      </w:pPr>
      <w:r w:rsidRPr="009D172D">
        <w:t>NLT_Return</w:t>
      </w:r>
      <w:r w:rsidR="00F12085" w:rsidRPr="009D172D">
        <w:t>_Class_3</w:t>
      </w:r>
      <w:r w:rsidR="001A0D86" w:rsidRPr="009D172D">
        <w:t>-9&amp;11</w:t>
      </w:r>
      <w:r w:rsidR="004F0035" w:rsidRPr="009D172D">
        <w:t>;</w:t>
      </w:r>
      <w:r w:rsidR="00541A79" w:rsidRPr="009D172D">
        <w:t xml:space="preserve"> or </w:t>
      </w:r>
    </w:p>
    <w:p w14:paraId="307D5C7B" w14:textId="49C24EA8" w:rsidR="004F0035" w:rsidRPr="009D172D" w:rsidRDefault="00F455D4" w:rsidP="004F0035">
      <w:pPr>
        <w:pStyle w:val="FootnoteText"/>
        <w:numPr>
          <w:ilvl w:val="0"/>
          <w:numId w:val="4"/>
        </w:numPr>
        <w:tabs>
          <w:tab w:val="left" w:pos="5387"/>
        </w:tabs>
        <w:jc w:val="both"/>
      </w:pPr>
      <w:r w:rsidRPr="009D172D">
        <w:t>NLT_Return</w:t>
      </w:r>
      <w:r w:rsidR="00541A79" w:rsidRPr="009D172D">
        <w:t>_Class_12</w:t>
      </w:r>
      <w:r w:rsidR="004F0035" w:rsidRPr="009D172D">
        <w:t>,</w:t>
      </w:r>
      <w:r w:rsidR="00F12085" w:rsidRPr="009D172D">
        <w:t xml:space="preserve"> </w:t>
      </w:r>
    </w:p>
    <w:p w14:paraId="33EC7154" w14:textId="1211C52C" w:rsidR="00503103" w:rsidRPr="009D172D" w:rsidRDefault="00F12085" w:rsidP="004F0035">
      <w:pPr>
        <w:pStyle w:val="FootnoteText"/>
        <w:tabs>
          <w:tab w:val="left" w:pos="5387"/>
        </w:tabs>
        <w:jc w:val="both"/>
      </w:pPr>
      <w:r w:rsidRPr="009D172D">
        <w:t xml:space="preserve">as </w:t>
      </w:r>
      <w:r w:rsidR="004F0035" w:rsidRPr="009D172D">
        <w:t xml:space="preserve">is </w:t>
      </w:r>
      <w:r w:rsidR="005A416E">
        <w:t>applicable to the I</w:t>
      </w:r>
      <w:r w:rsidRPr="009D172D">
        <w:t>nsurer</w:t>
      </w:r>
      <w:r w:rsidR="00503103" w:rsidRPr="009D172D">
        <w:t xml:space="preserve">, </w:t>
      </w:r>
      <w:r w:rsidR="007F1ECD" w:rsidRPr="009D172D">
        <w:t xml:space="preserve">and </w:t>
      </w:r>
      <w:r w:rsidR="003A675F" w:rsidRPr="009D172D">
        <w:t xml:space="preserve">where </w:t>
      </w:r>
      <w:r w:rsidR="00503103" w:rsidRPr="009D172D">
        <w:t xml:space="preserve">the current version of which is published on the Authority’s website.  </w:t>
      </w:r>
      <w:r w:rsidR="001A0D86" w:rsidRPr="009D172D">
        <w:t xml:space="preserve">Only the items marked as "Included in scope of </w:t>
      </w:r>
      <w:r w:rsidR="008603F7" w:rsidRPr="009D172D">
        <w:t>Reasonable Assurance</w:t>
      </w:r>
      <w:r w:rsidR="00F455D4" w:rsidRPr="009D172D">
        <w:t>" in the Index Tab</w:t>
      </w:r>
      <w:r w:rsidR="001A0D86" w:rsidRPr="009D172D">
        <w:t xml:space="preserve"> have been deemed by the Authority as information required to be </w:t>
      </w:r>
      <w:r w:rsidR="008603F7" w:rsidRPr="009D172D">
        <w:t xml:space="preserve">in scope of reasonable assurance </w:t>
      </w:r>
      <w:r w:rsidR="001A0D86" w:rsidRPr="009D172D">
        <w:t>for the purposes of regulation 17(5)(c)</w:t>
      </w:r>
      <w:r w:rsidR="007F1ECD" w:rsidRPr="009D172D">
        <w:t xml:space="preserve"> </w:t>
      </w:r>
      <w:r w:rsidR="001A0D86" w:rsidRPr="009D172D">
        <w:t>(the “Auditor’s Report”)</w:t>
      </w:r>
      <w:r w:rsidR="00503103" w:rsidRPr="009D172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F692" w14:textId="7C34A3DA" w:rsidR="00EF3FF6" w:rsidRDefault="00EF3FF6">
    <w:pPr>
      <w:pStyle w:val="Header"/>
    </w:pPr>
    <w:r>
      <w:t>Version 01, issued on 30 June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5A23"/>
    <w:multiLevelType w:val="multilevel"/>
    <w:tmpl w:val="8332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60BA7"/>
    <w:multiLevelType w:val="multilevel"/>
    <w:tmpl w:val="B39E23B2"/>
    <w:lvl w:ilvl="0">
      <w:start w:val="1"/>
      <w:numFmt w:val="decimal"/>
      <w:pStyle w:val="IOMScheduleSection"/>
      <w:lvlText w:val="%1"/>
      <w:lvlJc w:val="left"/>
      <w:pPr>
        <w:ind w:left="680" w:hanging="680"/>
      </w:pPr>
      <w:rPr>
        <w:rFonts w:hint="default"/>
      </w:rPr>
    </w:lvl>
    <w:lvl w:ilvl="1">
      <w:start w:val="1"/>
      <w:numFmt w:val="decimal"/>
      <w:pStyle w:val="IOMScheduleSubSection"/>
      <w:lvlText w:val="(%2)"/>
      <w:lvlJc w:val="left"/>
      <w:pPr>
        <w:ind w:left="1360" w:hanging="680"/>
      </w:pPr>
      <w:rPr>
        <w:rFonts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upp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2" w15:restartNumberingAfterBreak="0">
    <w:nsid w:val="29735CDF"/>
    <w:multiLevelType w:val="multilevel"/>
    <w:tmpl w:val="339A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01508"/>
    <w:multiLevelType w:val="hybridMultilevel"/>
    <w:tmpl w:val="C78A97B0"/>
    <w:lvl w:ilvl="0" w:tplc="E86C2E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Jq08PibqUD1tHuUAJjoIOJzM1L+wNTTm8TtLdPJCIfBhq37qfKov5sAObALNtAavW9tgNbXfiWyqFyX4XeKoQ==" w:salt="+YWHYbuP9KwhvHiafSRK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88"/>
    <w:rsid w:val="000145E9"/>
    <w:rsid w:val="000761AA"/>
    <w:rsid w:val="00087351"/>
    <w:rsid w:val="000A5939"/>
    <w:rsid w:val="000A5CE5"/>
    <w:rsid w:val="000C462C"/>
    <w:rsid w:val="001156EB"/>
    <w:rsid w:val="00133AEC"/>
    <w:rsid w:val="001428DB"/>
    <w:rsid w:val="00184A68"/>
    <w:rsid w:val="00192749"/>
    <w:rsid w:val="001A0D86"/>
    <w:rsid w:val="001D3F0F"/>
    <w:rsid w:val="001F7DDE"/>
    <w:rsid w:val="0024171C"/>
    <w:rsid w:val="00270BF7"/>
    <w:rsid w:val="002A0394"/>
    <w:rsid w:val="002A31B7"/>
    <w:rsid w:val="003350F2"/>
    <w:rsid w:val="00346AAA"/>
    <w:rsid w:val="00347892"/>
    <w:rsid w:val="00356928"/>
    <w:rsid w:val="00357D0B"/>
    <w:rsid w:val="0036700B"/>
    <w:rsid w:val="00381A69"/>
    <w:rsid w:val="003A675F"/>
    <w:rsid w:val="003D0854"/>
    <w:rsid w:val="003D313D"/>
    <w:rsid w:val="003F7664"/>
    <w:rsid w:val="00440600"/>
    <w:rsid w:val="00443847"/>
    <w:rsid w:val="004B1C11"/>
    <w:rsid w:val="004C4A18"/>
    <w:rsid w:val="004F0035"/>
    <w:rsid w:val="00503103"/>
    <w:rsid w:val="00505F8A"/>
    <w:rsid w:val="005306F8"/>
    <w:rsid w:val="00541A79"/>
    <w:rsid w:val="00566658"/>
    <w:rsid w:val="005A416E"/>
    <w:rsid w:val="005B3E22"/>
    <w:rsid w:val="006134AE"/>
    <w:rsid w:val="006222FD"/>
    <w:rsid w:val="006734D2"/>
    <w:rsid w:val="00686A07"/>
    <w:rsid w:val="0068798F"/>
    <w:rsid w:val="00694770"/>
    <w:rsid w:val="006A3F6C"/>
    <w:rsid w:val="006B5E1B"/>
    <w:rsid w:val="006B72C6"/>
    <w:rsid w:val="00704F80"/>
    <w:rsid w:val="00741EE7"/>
    <w:rsid w:val="00774EA9"/>
    <w:rsid w:val="0078154B"/>
    <w:rsid w:val="00781CAA"/>
    <w:rsid w:val="007A081C"/>
    <w:rsid w:val="007D5A74"/>
    <w:rsid w:val="007F1ECD"/>
    <w:rsid w:val="00812F08"/>
    <w:rsid w:val="0082769F"/>
    <w:rsid w:val="008603F7"/>
    <w:rsid w:val="008A418A"/>
    <w:rsid w:val="008B4D31"/>
    <w:rsid w:val="008C0418"/>
    <w:rsid w:val="008E5DAD"/>
    <w:rsid w:val="008F6BF7"/>
    <w:rsid w:val="00910F6F"/>
    <w:rsid w:val="00935083"/>
    <w:rsid w:val="00946488"/>
    <w:rsid w:val="00966E18"/>
    <w:rsid w:val="00967004"/>
    <w:rsid w:val="00970B36"/>
    <w:rsid w:val="009933DA"/>
    <w:rsid w:val="009A1907"/>
    <w:rsid w:val="009A1D4C"/>
    <w:rsid w:val="009A4F03"/>
    <w:rsid w:val="009D172D"/>
    <w:rsid w:val="009D7242"/>
    <w:rsid w:val="00A166E0"/>
    <w:rsid w:val="00A21D61"/>
    <w:rsid w:val="00AB0B85"/>
    <w:rsid w:val="00AB0EE3"/>
    <w:rsid w:val="00AD7BA9"/>
    <w:rsid w:val="00AE3B90"/>
    <w:rsid w:val="00AF6860"/>
    <w:rsid w:val="00B61C65"/>
    <w:rsid w:val="00B85C03"/>
    <w:rsid w:val="00BB3DAE"/>
    <w:rsid w:val="00BE4921"/>
    <w:rsid w:val="00C41C99"/>
    <w:rsid w:val="00CA0E22"/>
    <w:rsid w:val="00CB7088"/>
    <w:rsid w:val="00CD362E"/>
    <w:rsid w:val="00CE632B"/>
    <w:rsid w:val="00D16480"/>
    <w:rsid w:val="00D17B5D"/>
    <w:rsid w:val="00D3345D"/>
    <w:rsid w:val="00D600BE"/>
    <w:rsid w:val="00D63474"/>
    <w:rsid w:val="00D644D6"/>
    <w:rsid w:val="00DB5F28"/>
    <w:rsid w:val="00DB739D"/>
    <w:rsid w:val="00DF3607"/>
    <w:rsid w:val="00E16546"/>
    <w:rsid w:val="00E3565F"/>
    <w:rsid w:val="00E664C6"/>
    <w:rsid w:val="00E85EF4"/>
    <w:rsid w:val="00EA2B0A"/>
    <w:rsid w:val="00EC4C47"/>
    <w:rsid w:val="00EC770B"/>
    <w:rsid w:val="00ED216E"/>
    <w:rsid w:val="00EF3FF6"/>
    <w:rsid w:val="00F12085"/>
    <w:rsid w:val="00F455D4"/>
    <w:rsid w:val="00F63549"/>
    <w:rsid w:val="00FA2693"/>
    <w:rsid w:val="00FB7A90"/>
    <w:rsid w:val="00FC3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3489"/>
  <w15:chartTrackingRefBased/>
  <w15:docId w15:val="{25E28A96-9215-46E8-8BF5-1FCC0196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MScheduleSection">
    <w:name w:val="*IOM_Schedule_Section"/>
    <w:rsid w:val="00CB7088"/>
    <w:pPr>
      <w:keepNext/>
      <w:widowControl w:val="0"/>
      <w:numPr>
        <w:numId w:val="1"/>
      </w:numPr>
      <w:tabs>
        <w:tab w:val="left" w:pos="680"/>
      </w:tabs>
      <w:suppressAutoHyphens/>
      <w:spacing w:before="360" w:after="120" w:line="240" w:lineRule="auto"/>
      <w:jc w:val="both"/>
      <w:outlineLvl w:val="0"/>
    </w:pPr>
    <w:rPr>
      <w:rFonts w:ascii="Palatino IOM" w:eastAsia="MS Mincho" w:hAnsi="Palatino IOM" w:cs="Times New Roman"/>
      <w:b/>
      <w:color w:val="000000"/>
      <w:sz w:val="24"/>
    </w:rPr>
  </w:style>
  <w:style w:type="paragraph" w:customStyle="1" w:styleId="IOMScheduleSubSection">
    <w:name w:val="*IOM_Schedule_SubSection"/>
    <w:qFormat/>
    <w:rsid w:val="00CB7088"/>
    <w:pPr>
      <w:numPr>
        <w:ilvl w:val="1"/>
        <w:numId w:val="1"/>
      </w:numPr>
      <w:tabs>
        <w:tab w:val="left" w:pos="680"/>
      </w:tabs>
      <w:spacing w:before="120" w:after="0" w:line="240" w:lineRule="auto"/>
      <w:jc w:val="both"/>
    </w:pPr>
    <w:rPr>
      <w:rFonts w:ascii="Palatino IOM" w:eastAsia="MS Mincho" w:hAnsi="Palatino IOM" w:cs="Times New Roman"/>
      <w:color w:val="000000"/>
    </w:rPr>
  </w:style>
  <w:style w:type="character" w:styleId="CommentReference">
    <w:name w:val="annotation reference"/>
    <w:basedOn w:val="DefaultParagraphFont"/>
    <w:uiPriority w:val="99"/>
    <w:unhideWhenUsed/>
    <w:rsid w:val="00CB7088"/>
    <w:rPr>
      <w:sz w:val="16"/>
      <w:szCs w:val="16"/>
    </w:rPr>
  </w:style>
  <w:style w:type="paragraph" w:styleId="CommentText">
    <w:name w:val="annotation text"/>
    <w:basedOn w:val="Normal"/>
    <w:link w:val="CommentTextChar"/>
    <w:uiPriority w:val="99"/>
    <w:unhideWhenUsed/>
    <w:rsid w:val="00CB7088"/>
    <w:pPr>
      <w:spacing w:after="0" w:line="240" w:lineRule="auto"/>
    </w:pPr>
    <w:rPr>
      <w:rFonts w:ascii="Palatino IOM" w:eastAsia="Times New Roman" w:hAnsi="Palatino IOM" w:cs="Times New Roman"/>
      <w:sz w:val="20"/>
      <w:szCs w:val="20"/>
    </w:rPr>
  </w:style>
  <w:style w:type="character" w:customStyle="1" w:styleId="CommentTextChar">
    <w:name w:val="Comment Text Char"/>
    <w:basedOn w:val="DefaultParagraphFont"/>
    <w:link w:val="CommentText"/>
    <w:uiPriority w:val="99"/>
    <w:rsid w:val="00CB7088"/>
    <w:rPr>
      <w:rFonts w:ascii="Palatino IOM" w:eastAsia="Times New Roman" w:hAnsi="Palatino IOM" w:cs="Times New Roman"/>
      <w:sz w:val="20"/>
      <w:szCs w:val="20"/>
    </w:rPr>
  </w:style>
  <w:style w:type="paragraph" w:styleId="BalloonText">
    <w:name w:val="Balloon Text"/>
    <w:basedOn w:val="Normal"/>
    <w:link w:val="BalloonTextChar"/>
    <w:uiPriority w:val="99"/>
    <w:semiHidden/>
    <w:unhideWhenUsed/>
    <w:rsid w:val="00CB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088"/>
    <w:rPr>
      <w:rFonts w:ascii="Segoe UI" w:hAnsi="Segoe UI" w:cs="Segoe UI"/>
      <w:sz w:val="18"/>
      <w:szCs w:val="18"/>
    </w:rPr>
  </w:style>
  <w:style w:type="paragraph" w:styleId="ListParagraph">
    <w:name w:val="List Paragraph"/>
    <w:basedOn w:val="Normal"/>
    <w:uiPriority w:val="34"/>
    <w:qFormat/>
    <w:rsid w:val="001156EB"/>
    <w:pPr>
      <w:ind w:left="720"/>
      <w:contextualSpacing/>
    </w:pPr>
  </w:style>
  <w:style w:type="paragraph" w:styleId="FootnoteText">
    <w:name w:val="footnote text"/>
    <w:basedOn w:val="Normal"/>
    <w:link w:val="FootnoteTextChar"/>
    <w:uiPriority w:val="99"/>
    <w:semiHidden/>
    <w:unhideWhenUsed/>
    <w:rsid w:val="00812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F08"/>
    <w:rPr>
      <w:sz w:val="20"/>
      <w:szCs w:val="20"/>
    </w:rPr>
  </w:style>
  <w:style w:type="character" w:styleId="FootnoteReference">
    <w:name w:val="footnote reference"/>
    <w:basedOn w:val="DefaultParagraphFont"/>
    <w:uiPriority w:val="99"/>
    <w:semiHidden/>
    <w:unhideWhenUsed/>
    <w:rsid w:val="00812F08"/>
    <w:rPr>
      <w:vertAlign w:val="superscript"/>
    </w:rPr>
  </w:style>
  <w:style w:type="paragraph" w:styleId="CommentSubject">
    <w:name w:val="annotation subject"/>
    <w:basedOn w:val="CommentText"/>
    <w:next w:val="CommentText"/>
    <w:link w:val="CommentSubjectChar"/>
    <w:uiPriority w:val="99"/>
    <w:semiHidden/>
    <w:unhideWhenUsed/>
    <w:rsid w:val="008F6BF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6BF7"/>
    <w:rPr>
      <w:rFonts w:ascii="Palatino IOM" w:eastAsia="Times New Roman" w:hAnsi="Palatino IOM" w:cs="Times New Roman"/>
      <w:b/>
      <w:bCs/>
      <w:sz w:val="20"/>
      <w:szCs w:val="20"/>
    </w:rPr>
  </w:style>
  <w:style w:type="paragraph" w:customStyle="1" w:styleId="li">
    <w:name w:val="li"/>
    <w:basedOn w:val="Normal"/>
    <w:rsid w:val="00FA26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81CAA"/>
    <w:pPr>
      <w:spacing w:after="0" w:line="240" w:lineRule="auto"/>
    </w:pPr>
  </w:style>
  <w:style w:type="paragraph" w:styleId="Header">
    <w:name w:val="header"/>
    <w:basedOn w:val="Normal"/>
    <w:link w:val="HeaderChar"/>
    <w:uiPriority w:val="99"/>
    <w:unhideWhenUsed/>
    <w:rsid w:val="00EF3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F6"/>
  </w:style>
  <w:style w:type="paragraph" w:styleId="Footer">
    <w:name w:val="footer"/>
    <w:basedOn w:val="Normal"/>
    <w:link w:val="FooterChar"/>
    <w:uiPriority w:val="99"/>
    <w:unhideWhenUsed/>
    <w:rsid w:val="00EF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93261">
      <w:bodyDiv w:val="1"/>
      <w:marLeft w:val="0"/>
      <w:marRight w:val="0"/>
      <w:marTop w:val="0"/>
      <w:marBottom w:val="0"/>
      <w:divBdr>
        <w:top w:val="none" w:sz="0" w:space="0" w:color="auto"/>
        <w:left w:val="none" w:sz="0" w:space="0" w:color="auto"/>
        <w:bottom w:val="none" w:sz="0" w:space="0" w:color="auto"/>
        <w:right w:val="none" w:sz="0" w:space="0" w:color="auto"/>
      </w:divBdr>
    </w:div>
    <w:div w:id="17380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DA37-96E8-4357-967E-8DB07C96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307</Words>
  <Characters>1755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Alan</dc:creator>
  <cp:keywords/>
  <dc:description/>
  <cp:lastModifiedBy>Rowe, Alan</cp:lastModifiedBy>
  <cp:revision>5</cp:revision>
  <cp:lastPrinted>2021-06-01T08:41:00Z</cp:lastPrinted>
  <dcterms:created xsi:type="dcterms:W3CDTF">2022-07-11T08:41:00Z</dcterms:created>
  <dcterms:modified xsi:type="dcterms:W3CDTF">2022-07-27T09:42:00Z</dcterms:modified>
</cp:coreProperties>
</file>