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88" w:rsidRPr="007E7524" w:rsidRDefault="00CB7088" w:rsidP="00C80E43">
      <w:pPr>
        <w:jc w:val="center"/>
        <w:rPr>
          <w:rFonts w:eastAsia="Times New Roman" w:cstheme="minorHAnsi"/>
          <w:b/>
          <w:caps/>
          <w:color w:val="000000"/>
          <w:sz w:val="24"/>
          <w:szCs w:val="24"/>
        </w:rPr>
      </w:pPr>
      <w:bookmarkStart w:id="0" w:name="_Toc517270398"/>
      <w:bookmarkStart w:id="1" w:name="_Toc45630041"/>
      <w:bookmarkStart w:id="2" w:name="_GoBack"/>
      <w:bookmarkEnd w:id="2"/>
      <w:r w:rsidRPr="007E7524">
        <w:rPr>
          <w:rFonts w:eastAsia="Times New Roman" w:cstheme="minorHAnsi"/>
          <w:b/>
          <w:caps/>
          <w:color w:val="000000"/>
          <w:sz w:val="24"/>
          <w:szCs w:val="24"/>
        </w:rPr>
        <w:t>DIRECTORS’ CERTIFICATE</w:t>
      </w:r>
      <w:bookmarkEnd w:id="0"/>
      <w:bookmarkEnd w:id="1"/>
    </w:p>
    <w:p w:rsidR="00CB7088" w:rsidRPr="003F0EA6" w:rsidRDefault="007E7524" w:rsidP="00B51110">
      <w:pPr>
        <w:tabs>
          <w:tab w:val="left" w:pos="680"/>
        </w:tabs>
        <w:spacing w:before="120" w:after="0" w:line="240" w:lineRule="auto"/>
        <w:jc w:val="both"/>
        <w:rPr>
          <w:rFonts w:eastAsia="Times New Roman" w:cstheme="minorHAnsi"/>
          <w:b/>
        </w:rPr>
      </w:pPr>
      <w:r w:rsidRPr="007E7524">
        <w:rPr>
          <w:rFonts w:eastAsia="Times New Roman" w:cstheme="minorHAnsi"/>
          <w:b/>
        </w:rPr>
        <w:t xml:space="preserve">This Directors’ Certificate is </w:t>
      </w:r>
      <w:r w:rsidRPr="003F0EA6">
        <w:rPr>
          <w:rFonts w:eastAsia="Times New Roman" w:cstheme="minorHAnsi"/>
          <w:b/>
        </w:rPr>
        <w:t>provided in accordance with regulation 17(5</w:t>
      </w:r>
      <w:proofErr w:type="gramStart"/>
      <w:r w:rsidRPr="003F0EA6">
        <w:rPr>
          <w:rFonts w:eastAsia="Times New Roman" w:cstheme="minorHAnsi"/>
          <w:b/>
        </w:rPr>
        <w:t>)(</w:t>
      </w:r>
      <w:proofErr w:type="gramEnd"/>
      <w:r w:rsidRPr="003F0EA6">
        <w:rPr>
          <w:rFonts w:eastAsia="Times New Roman" w:cstheme="minorHAnsi"/>
          <w:b/>
        </w:rPr>
        <w:t>b)</w:t>
      </w:r>
      <w:r w:rsidR="00BD2342" w:rsidRPr="003F0EA6">
        <w:rPr>
          <w:rFonts w:eastAsia="Times New Roman" w:cstheme="minorHAnsi"/>
          <w:b/>
        </w:rPr>
        <w:t>(</w:t>
      </w:r>
      <w:proofErr w:type="spellStart"/>
      <w:r w:rsidR="00BD2342" w:rsidRPr="003F0EA6">
        <w:rPr>
          <w:rFonts w:eastAsia="Times New Roman" w:cstheme="minorHAnsi"/>
          <w:b/>
        </w:rPr>
        <w:t>i</w:t>
      </w:r>
      <w:proofErr w:type="spellEnd"/>
      <w:r w:rsidR="00BD2342" w:rsidRPr="003F0EA6">
        <w:rPr>
          <w:rFonts w:eastAsia="Times New Roman" w:cstheme="minorHAnsi"/>
          <w:b/>
        </w:rPr>
        <w:t xml:space="preserve">) </w:t>
      </w:r>
      <w:r w:rsidRPr="003F0EA6">
        <w:rPr>
          <w:rFonts w:eastAsia="Times New Roman" w:cstheme="minorHAnsi"/>
          <w:b/>
        </w:rPr>
        <w:t xml:space="preserve">of the </w:t>
      </w:r>
      <w:r w:rsidRPr="003F0EA6">
        <w:rPr>
          <w:rFonts w:eastAsia="MS Mincho" w:cstheme="minorHAnsi"/>
          <w:b/>
        </w:rPr>
        <w:t>Insurance Regulations 2021</w:t>
      </w:r>
      <w:r w:rsidRPr="003F0EA6">
        <w:rPr>
          <w:rStyle w:val="FootnoteReference"/>
          <w:rFonts w:eastAsia="MS Mincho" w:cstheme="minorHAnsi"/>
          <w:b/>
        </w:rPr>
        <w:footnoteReference w:id="1"/>
      </w:r>
      <w:r w:rsidRPr="003F0EA6">
        <w:rPr>
          <w:rFonts w:eastAsia="Times New Roman" w:cstheme="minorHAnsi"/>
          <w:b/>
        </w:rPr>
        <w:t xml:space="preserve"> </w:t>
      </w:r>
      <w:r w:rsidR="00CB7088" w:rsidRPr="003F0EA6">
        <w:rPr>
          <w:rFonts w:eastAsia="Times New Roman" w:cstheme="minorHAnsi"/>
          <w:b/>
        </w:rPr>
        <w:t>to the Isle of Man Financial Services Authority</w:t>
      </w:r>
      <w:r w:rsidR="00EC6603" w:rsidRPr="003F0EA6">
        <w:rPr>
          <w:rFonts w:eastAsia="Times New Roman" w:cstheme="minorHAnsi"/>
          <w:b/>
        </w:rPr>
        <w:t xml:space="preserve"> (“the Authority”)</w:t>
      </w:r>
      <w:r w:rsidR="00CB7088" w:rsidRPr="003F0EA6">
        <w:rPr>
          <w:rFonts w:eastAsia="Times New Roman" w:cstheme="minorHAnsi"/>
          <w:b/>
        </w:rPr>
        <w:t xml:space="preserve"> in respect of [insert</w:t>
      </w:r>
      <w:r w:rsidR="0032084E" w:rsidRPr="003F0EA6">
        <w:rPr>
          <w:rFonts w:eastAsia="Times New Roman" w:cstheme="minorHAnsi"/>
          <w:b/>
        </w:rPr>
        <w:t xml:space="preserve"> the name of the insurer </w:t>
      </w:r>
      <w:r w:rsidR="008C330C" w:rsidRPr="003F0EA6">
        <w:rPr>
          <w:rFonts w:eastAsia="Times New Roman" w:cstheme="minorHAnsi"/>
          <w:b/>
        </w:rPr>
        <w:t>(the PCC</w:t>
      </w:r>
      <w:r w:rsidR="008C330C" w:rsidRPr="003F0EA6">
        <w:rPr>
          <w:rStyle w:val="FootnoteReference"/>
          <w:rFonts w:eastAsia="Times New Roman" w:cstheme="minorHAnsi"/>
          <w:b/>
        </w:rPr>
        <w:footnoteReference w:id="2"/>
      </w:r>
      <w:r w:rsidR="008C330C" w:rsidRPr="003F0EA6">
        <w:rPr>
          <w:rFonts w:eastAsia="Times New Roman" w:cstheme="minorHAnsi"/>
          <w:b/>
        </w:rPr>
        <w:t xml:space="preserve">) </w:t>
      </w:r>
      <w:r w:rsidR="0032084E" w:rsidRPr="003F0EA6">
        <w:rPr>
          <w:rFonts w:eastAsia="Times New Roman" w:cstheme="minorHAnsi"/>
          <w:b/>
        </w:rPr>
        <w:t>in respect of which this certificate is being provided</w:t>
      </w:r>
      <w:r w:rsidR="00CB7088" w:rsidRPr="003F0EA6">
        <w:rPr>
          <w:rFonts w:eastAsia="Times New Roman" w:cstheme="minorHAnsi"/>
          <w:b/>
        </w:rPr>
        <w:t xml:space="preserve">] </w:t>
      </w:r>
      <w:r w:rsidR="0032084E" w:rsidRPr="003F0EA6">
        <w:rPr>
          <w:rFonts w:eastAsia="Times New Roman" w:cstheme="minorHAnsi"/>
          <w:b/>
        </w:rPr>
        <w:t>(“the Insurer</w:t>
      </w:r>
      <w:r w:rsidR="00CB7088" w:rsidRPr="003F0EA6">
        <w:rPr>
          <w:rFonts w:eastAsia="Times New Roman" w:cstheme="minorHAnsi"/>
          <w:b/>
        </w:rPr>
        <w:t>”)</w:t>
      </w:r>
      <w:r w:rsidR="00EC6603" w:rsidRPr="003F0EA6">
        <w:rPr>
          <w:rFonts w:eastAsia="Palatino Linotype" w:cstheme="minorHAnsi"/>
          <w:bCs/>
          <w:szCs w:val="20"/>
        </w:rPr>
        <w:t xml:space="preserve"> </w:t>
      </w:r>
      <w:r w:rsidR="00EC6603" w:rsidRPr="003F0EA6">
        <w:rPr>
          <w:rFonts w:eastAsia="Palatino Linotype" w:cstheme="minorHAnsi"/>
          <w:b/>
          <w:bCs/>
          <w:szCs w:val="20"/>
        </w:rPr>
        <w:t xml:space="preserve">for the </w:t>
      </w:r>
      <w:r w:rsidR="00EC6603" w:rsidRPr="003F0EA6">
        <w:rPr>
          <w:rFonts w:eastAsia="Times New Roman" w:cstheme="minorHAnsi"/>
          <w:b/>
          <w:snapToGrid w:val="0"/>
          <w:lang w:val="en-US" w:eastAsia="en-GB"/>
        </w:rPr>
        <w:t>financial year ended [insert balance sheet date]</w:t>
      </w:r>
      <w:r w:rsidR="00EC6603" w:rsidRPr="003F0EA6">
        <w:rPr>
          <w:rFonts w:eastAsia="Times New Roman" w:cstheme="minorHAnsi"/>
          <w:snapToGrid w:val="0"/>
          <w:lang w:val="en-US" w:eastAsia="en-GB"/>
        </w:rPr>
        <w:t xml:space="preserve"> </w:t>
      </w:r>
      <w:r w:rsidR="00EC6603" w:rsidRPr="003F0EA6">
        <w:rPr>
          <w:rFonts w:eastAsia="Times New Roman" w:cstheme="minorHAnsi"/>
          <w:b/>
          <w:snapToGrid w:val="0"/>
          <w:lang w:val="en-US" w:eastAsia="en-GB"/>
        </w:rPr>
        <w:t>(“the relevant period”)</w:t>
      </w:r>
    </w:p>
    <w:p w:rsidR="0032084E" w:rsidRPr="003F0EA6" w:rsidRDefault="0032084E" w:rsidP="0032084E">
      <w:pPr>
        <w:tabs>
          <w:tab w:val="left" w:pos="680"/>
        </w:tabs>
        <w:spacing w:before="120" w:after="0" w:line="240" w:lineRule="auto"/>
        <w:ind w:left="1360"/>
        <w:jc w:val="both"/>
        <w:rPr>
          <w:rFonts w:ascii="Palatino IOM" w:eastAsia="MS Mincho" w:hAnsi="Palatino IOM" w:cs="Times New Roman"/>
          <w:color w:val="000000"/>
        </w:rPr>
      </w:pPr>
    </w:p>
    <w:p w:rsidR="00CB7088" w:rsidRPr="003F0EA6" w:rsidRDefault="00CB7088" w:rsidP="00CB7088">
      <w:pPr>
        <w:numPr>
          <w:ilvl w:val="1"/>
          <w:numId w:val="1"/>
        </w:numPr>
        <w:tabs>
          <w:tab w:val="left" w:pos="680"/>
        </w:tabs>
        <w:spacing w:before="120" w:after="0" w:line="240" w:lineRule="auto"/>
        <w:jc w:val="both"/>
        <w:rPr>
          <w:rFonts w:eastAsia="MS Mincho" w:cstheme="minorHAnsi"/>
          <w:color w:val="000000"/>
        </w:rPr>
      </w:pPr>
      <w:r w:rsidRPr="003F0EA6">
        <w:rPr>
          <w:rFonts w:eastAsia="MS Mincho" w:cstheme="minorHAnsi"/>
          <w:color w:val="000000"/>
        </w:rPr>
        <w:t xml:space="preserve">We </w:t>
      </w:r>
      <w:r w:rsidRPr="003F0EA6">
        <w:rPr>
          <w:rFonts w:eastAsia="MS Mincho" w:cstheme="minorHAnsi"/>
        </w:rPr>
        <w:t xml:space="preserve">confirm that the </w:t>
      </w:r>
      <w:r w:rsidR="0032084E" w:rsidRPr="003F0EA6">
        <w:rPr>
          <w:rFonts w:eastAsia="MS Mincho" w:cstheme="minorHAnsi"/>
        </w:rPr>
        <w:t>Insurer</w:t>
      </w:r>
      <w:r w:rsidRPr="003F0EA6">
        <w:rPr>
          <w:rFonts w:eastAsia="MS Mincho" w:cstheme="minorHAnsi"/>
        </w:rPr>
        <w:t xml:space="preserve"> has complied with the requirements of the Insurance Act 2008, the Insurance Regulations 202</w:t>
      </w:r>
      <w:r w:rsidR="00A166E0" w:rsidRPr="003F0EA6">
        <w:rPr>
          <w:rFonts w:eastAsia="MS Mincho" w:cstheme="minorHAnsi"/>
        </w:rPr>
        <w:t>1</w:t>
      </w:r>
      <w:r w:rsidR="0032084E" w:rsidRPr="003F0EA6">
        <w:rPr>
          <w:rFonts w:eastAsia="MS Mincho" w:cstheme="minorHAnsi"/>
        </w:rPr>
        <w:t xml:space="preserve"> </w:t>
      </w:r>
      <w:r w:rsidRPr="003F0EA6">
        <w:rPr>
          <w:rFonts w:eastAsia="MS Mincho" w:cstheme="minorHAnsi"/>
        </w:rPr>
        <w:t xml:space="preserve">and the </w:t>
      </w:r>
      <w:r w:rsidR="00EC6603" w:rsidRPr="003F0EA6">
        <w:rPr>
          <w:rFonts w:eastAsia="MS Mincho" w:cstheme="minorHAnsi"/>
        </w:rPr>
        <w:t>[</w:t>
      </w:r>
      <w:r w:rsidRPr="003F0EA6">
        <w:rPr>
          <w:rFonts w:eastAsia="MS Mincho" w:cstheme="minorHAnsi"/>
        </w:rPr>
        <w:t>Insurance (Long-Term Business Valuatio</w:t>
      </w:r>
      <w:r w:rsidR="008143D5" w:rsidRPr="003F0EA6">
        <w:rPr>
          <w:rFonts w:eastAsia="MS Mincho" w:cstheme="minorHAnsi"/>
        </w:rPr>
        <w:t>n and Solvency) Regulations 2021</w:t>
      </w:r>
      <w:r w:rsidR="00EC6603" w:rsidRPr="003F0EA6">
        <w:rPr>
          <w:rFonts w:eastAsia="MS Mincho" w:cstheme="minorHAnsi"/>
        </w:rPr>
        <w:t>/</w:t>
      </w:r>
      <w:r w:rsidR="008143D5" w:rsidRPr="003F0EA6">
        <w:rPr>
          <w:rFonts w:eastAsia="MS Mincho" w:cstheme="minorHAnsi"/>
        </w:rPr>
        <w:t xml:space="preserve"> Insurance (Non Long-Term Business Valuation and Solvency) Regulations 2021</w:t>
      </w:r>
      <w:r w:rsidR="00EC6603" w:rsidRPr="003F0EA6">
        <w:rPr>
          <w:rFonts w:eastAsia="MS Mincho" w:cstheme="minorHAnsi"/>
        </w:rPr>
        <w:t>]</w:t>
      </w:r>
      <w:r w:rsidR="008143D5" w:rsidRPr="003F0EA6">
        <w:rPr>
          <w:rFonts w:eastAsia="MS Mincho" w:cstheme="minorHAnsi"/>
        </w:rPr>
        <w:t xml:space="preserve">* </w:t>
      </w:r>
      <w:r w:rsidRPr="003F0EA6">
        <w:rPr>
          <w:rFonts w:eastAsia="MS Mincho" w:cstheme="minorHAnsi"/>
        </w:rPr>
        <w:t xml:space="preserve">during the </w:t>
      </w:r>
      <w:r w:rsidR="00EC6603" w:rsidRPr="003F0EA6">
        <w:rPr>
          <w:rFonts w:eastAsia="MS Mincho" w:cstheme="minorHAnsi"/>
        </w:rPr>
        <w:t>relevant period</w:t>
      </w:r>
      <w:r w:rsidR="00141A84" w:rsidRPr="003F0EA6">
        <w:rPr>
          <w:rFonts w:eastAsia="MS Mincho" w:cstheme="minorHAnsi"/>
        </w:rPr>
        <w:t xml:space="preserve"> (and, where the relevant period includes a period before 30 June 2022, the equivalent requirements under legislation having effect at that time)</w:t>
      </w:r>
      <w:r w:rsidRPr="003F0EA6">
        <w:rPr>
          <w:rFonts w:eastAsia="MS Mincho" w:cstheme="minorHAnsi"/>
        </w:rPr>
        <w:t>.</w:t>
      </w:r>
    </w:p>
    <w:p w:rsidR="00041300" w:rsidRPr="003F0EA6" w:rsidRDefault="00CB7088" w:rsidP="00946488">
      <w:pPr>
        <w:numPr>
          <w:ilvl w:val="1"/>
          <w:numId w:val="1"/>
        </w:numPr>
        <w:tabs>
          <w:tab w:val="left" w:pos="680"/>
        </w:tabs>
        <w:spacing w:before="120" w:after="0" w:line="240" w:lineRule="auto"/>
        <w:jc w:val="both"/>
        <w:rPr>
          <w:rFonts w:eastAsia="MS Mincho" w:cstheme="minorHAnsi"/>
          <w:snapToGrid w:val="0"/>
        </w:rPr>
      </w:pPr>
      <w:r w:rsidRPr="003F0EA6">
        <w:rPr>
          <w:rFonts w:eastAsia="MS Mincho" w:cstheme="minorHAnsi"/>
          <w:snapToGrid w:val="0"/>
        </w:rPr>
        <w:t xml:space="preserve">Subject to permitted estimations and approximations, we certify the accuracy of the information </w:t>
      </w:r>
      <w:r w:rsidR="00EC6603" w:rsidRPr="003F0EA6">
        <w:rPr>
          <w:rFonts w:eastAsia="MS Mincho" w:cstheme="minorHAnsi"/>
          <w:snapToGrid w:val="0"/>
        </w:rPr>
        <w:t xml:space="preserve">furnished </w:t>
      </w:r>
      <w:r w:rsidR="00B51110" w:rsidRPr="003F0EA6">
        <w:rPr>
          <w:rFonts w:eastAsia="MS Mincho" w:cstheme="minorHAnsi"/>
          <w:snapToGrid w:val="0"/>
        </w:rPr>
        <w:t>pursuant to</w:t>
      </w:r>
      <w:r w:rsidR="00EC6603" w:rsidRPr="003F0EA6">
        <w:rPr>
          <w:rFonts w:eastAsia="MS Mincho" w:cstheme="minorHAnsi"/>
          <w:snapToGrid w:val="0"/>
        </w:rPr>
        <w:t xml:space="preserve"> regulation</w:t>
      </w:r>
      <w:r w:rsidR="007C1DAF" w:rsidRPr="003F0EA6">
        <w:rPr>
          <w:rFonts w:eastAsia="Times New Roman" w:cstheme="minorHAnsi"/>
          <w:snapToGrid w:val="0"/>
          <w:lang w:val="en-US" w:eastAsia="en-GB"/>
        </w:rPr>
        <w:t xml:space="preserve"> 17(5</w:t>
      </w:r>
      <w:proofErr w:type="gramStart"/>
      <w:r w:rsidR="00EC6603" w:rsidRPr="003F0EA6">
        <w:rPr>
          <w:rFonts w:eastAsia="Times New Roman" w:cstheme="minorHAnsi"/>
          <w:snapToGrid w:val="0"/>
          <w:lang w:val="en-US" w:eastAsia="en-GB"/>
        </w:rPr>
        <w:t>)(</w:t>
      </w:r>
      <w:proofErr w:type="gramEnd"/>
      <w:r w:rsidR="00EC6603" w:rsidRPr="003F0EA6">
        <w:rPr>
          <w:rFonts w:eastAsia="Times New Roman" w:cstheme="minorHAnsi"/>
          <w:snapToGrid w:val="0"/>
          <w:lang w:val="en-US" w:eastAsia="en-GB"/>
        </w:rPr>
        <w:t>a)</w:t>
      </w:r>
      <w:r w:rsidR="009F0D5F" w:rsidRPr="003F0EA6">
        <w:rPr>
          <w:rFonts w:eastAsia="Times New Roman" w:cstheme="minorHAnsi"/>
          <w:snapToGrid w:val="0"/>
          <w:lang w:val="en-US" w:eastAsia="en-GB"/>
        </w:rPr>
        <w:t>(</w:t>
      </w:r>
      <w:proofErr w:type="spellStart"/>
      <w:r w:rsidR="009F0D5F" w:rsidRPr="003F0EA6">
        <w:rPr>
          <w:rFonts w:eastAsia="Times New Roman" w:cstheme="minorHAnsi"/>
          <w:snapToGrid w:val="0"/>
          <w:lang w:val="en-US" w:eastAsia="en-GB"/>
        </w:rPr>
        <w:t>i</w:t>
      </w:r>
      <w:proofErr w:type="spellEnd"/>
      <w:r w:rsidR="009F0D5F" w:rsidRPr="003F0EA6">
        <w:rPr>
          <w:rFonts w:eastAsia="Times New Roman" w:cstheme="minorHAnsi"/>
          <w:snapToGrid w:val="0"/>
          <w:lang w:val="en-US" w:eastAsia="en-GB"/>
        </w:rPr>
        <w:t>)</w:t>
      </w:r>
      <w:r w:rsidR="00BD2342" w:rsidRPr="003F0EA6">
        <w:rPr>
          <w:rFonts w:eastAsia="Times New Roman" w:cstheme="minorHAnsi"/>
          <w:snapToGrid w:val="0"/>
          <w:lang w:val="en-US" w:eastAsia="en-GB"/>
        </w:rPr>
        <w:t>(A)</w:t>
      </w:r>
      <w:r w:rsidR="007C1DAF" w:rsidRPr="003F0EA6">
        <w:rPr>
          <w:rStyle w:val="FootnoteReference"/>
          <w:rFonts w:eastAsia="Times New Roman" w:cstheme="minorHAnsi"/>
          <w:snapToGrid w:val="0"/>
          <w:lang w:val="en-US" w:eastAsia="en-GB"/>
        </w:rPr>
        <w:footnoteReference w:id="3"/>
      </w:r>
      <w:r w:rsidR="00386310" w:rsidRPr="003F0EA6">
        <w:rPr>
          <w:rFonts w:eastAsia="Times New Roman" w:cstheme="minorHAnsi"/>
          <w:snapToGrid w:val="0"/>
          <w:lang w:val="en-US" w:eastAsia="en-GB"/>
        </w:rPr>
        <w:t>,</w:t>
      </w:r>
      <w:r w:rsidR="00EC6603" w:rsidRPr="003F0EA6">
        <w:rPr>
          <w:rFonts w:eastAsia="Times New Roman" w:cstheme="minorHAnsi"/>
          <w:snapToGrid w:val="0"/>
          <w:lang w:val="en-US" w:eastAsia="en-GB"/>
        </w:rPr>
        <w:t xml:space="preserve"> </w:t>
      </w:r>
      <w:r w:rsidR="00EC6603" w:rsidRPr="003F0EA6">
        <w:rPr>
          <w:rFonts w:eastAsia="MS Mincho" w:cstheme="minorHAnsi"/>
          <w:snapToGrid w:val="0"/>
        </w:rPr>
        <w:t>for the relevant period</w:t>
      </w:r>
      <w:r w:rsidRPr="003F0EA6">
        <w:rPr>
          <w:rFonts w:eastAsia="MS Mincho" w:cstheme="minorHAnsi"/>
          <w:snapToGrid w:val="0"/>
        </w:rPr>
        <w:t>.</w:t>
      </w:r>
    </w:p>
    <w:p w:rsidR="00CB7088" w:rsidRPr="003F0EA6" w:rsidRDefault="00CB7088" w:rsidP="00946488">
      <w:pPr>
        <w:numPr>
          <w:ilvl w:val="1"/>
          <w:numId w:val="1"/>
        </w:numPr>
        <w:tabs>
          <w:tab w:val="left" w:pos="680"/>
        </w:tabs>
        <w:spacing w:before="120" w:after="0" w:line="240" w:lineRule="auto"/>
        <w:jc w:val="both"/>
        <w:rPr>
          <w:rFonts w:eastAsia="MS Mincho" w:cstheme="minorHAnsi"/>
        </w:rPr>
      </w:pPr>
      <w:r w:rsidRPr="003F0EA6">
        <w:rPr>
          <w:rFonts w:eastAsia="MS Mincho" w:cstheme="minorHAnsi"/>
        </w:rPr>
        <w:t xml:space="preserve">We certify that as at the balance sheet date </w:t>
      </w:r>
      <w:r w:rsidR="005232BB" w:rsidRPr="003F0EA6">
        <w:rPr>
          <w:rFonts w:eastAsia="MS Mincho" w:cstheme="minorHAnsi"/>
        </w:rPr>
        <w:t xml:space="preserve">of the Insurer’s accompanying audited annual accounts </w:t>
      </w:r>
      <w:r w:rsidRPr="003F0EA6">
        <w:rPr>
          <w:rFonts w:eastAsia="MS Mincho" w:cstheme="minorHAnsi"/>
        </w:rPr>
        <w:t>no charge</w:t>
      </w:r>
      <w:r w:rsidR="000C5FD3" w:rsidRPr="003F0EA6">
        <w:rPr>
          <w:rFonts w:eastAsia="MS Mincho" w:cstheme="minorHAnsi"/>
        </w:rPr>
        <w:t xml:space="preserve">, </w:t>
      </w:r>
      <w:r w:rsidR="00E12290" w:rsidRPr="003F0EA6">
        <w:rPr>
          <w:rFonts w:eastAsia="MS Mincho" w:cstheme="minorHAnsi"/>
        </w:rPr>
        <w:t>pledge or other</w:t>
      </w:r>
      <w:r w:rsidR="000C5FD3" w:rsidRPr="003F0EA6">
        <w:rPr>
          <w:rFonts w:eastAsia="MS Mincho" w:cstheme="minorHAnsi"/>
        </w:rPr>
        <w:t xml:space="preserve"> encumbrance</w:t>
      </w:r>
      <w:r w:rsidRPr="003F0EA6">
        <w:rPr>
          <w:rFonts w:eastAsia="MS Mincho" w:cstheme="minorHAnsi"/>
        </w:rPr>
        <w:t xml:space="preserve"> </w:t>
      </w:r>
      <w:r w:rsidR="00936C0F" w:rsidRPr="003F0EA6">
        <w:rPr>
          <w:rFonts w:eastAsia="MS Mincho" w:cstheme="minorHAnsi"/>
        </w:rPr>
        <w:t xml:space="preserve">of a similar effect </w:t>
      </w:r>
      <w:r w:rsidRPr="003F0EA6">
        <w:rPr>
          <w:rFonts w:eastAsia="MS Mincho" w:cstheme="minorHAnsi"/>
        </w:rPr>
        <w:t xml:space="preserve">had been made on the assets of the </w:t>
      </w:r>
      <w:r w:rsidR="0032084E" w:rsidRPr="003F0EA6">
        <w:rPr>
          <w:rFonts w:eastAsia="MS Mincho" w:cstheme="minorHAnsi"/>
        </w:rPr>
        <w:t>Insurer</w:t>
      </w:r>
      <w:r w:rsidRPr="003F0EA6">
        <w:rPr>
          <w:rFonts w:eastAsia="MS Mincho" w:cstheme="minorHAnsi"/>
        </w:rPr>
        <w:t xml:space="preserve"> to secure the liabilities of any other person</w:t>
      </w:r>
      <w:r w:rsidR="004A6739" w:rsidRPr="003F0EA6">
        <w:rPr>
          <w:rFonts w:eastAsia="MS Mincho" w:cstheme="minorHAnsi"/>
        </w:rPr>
        <w:t xml:space="preserve"> [</w:t>
      </w:r>
      <w:r w:rsidRPr="003F0EA6">
        <w:rPr>
          <w:rFonts w:eastAsia="MS Mincho" w:cstheme="minorHAnsi"/>
        </w:rPr>
        <w:t xml:space="preserve">except as stated in notes to </w:t>
      </w:r>
      <w:r w:rsidR="005232BB" w:rsidRPr="003F0EA6">
        <w:rPr>
          <w:rFonts w:eastAsia="MS Mincho" w:cstheme="minorHAnsi"/>
        </w:rPr>
        <w:t>those</w:t>
      </w:r>
      <w:r w:rsidR="004A6739" w:rsidRPr="003F0EA6">
        <w:rPr>
          <w:rFonts w:eastAsia="MS Mincho" w:cstheme="minorHAnsi"/>
        </w:rPr>
        <w:t xml:space="preserve"> accounts]*</w:t>
      </w:r>
      <w:r w:rsidRPr="003F0EA6">
        <w:rPr>
          <w:rFonts w:eastAsia="MS Mincho" w:cstheme="minorHAnsi"/>
        </w:rPr>
        <w:t xml:space="preserve"> and there has been no charge since that date.</w:t>
      </w:r>
    </w:p>
    <w:p w:rsidR="00715844" w:rsidRPr="003F0EA6" w:rsidRDefault="00715844" w:rsidP="00715844">
      <w:pPr>
        <w:pStyle w:val="IOMScheduleSubSection"/>
        <w:rPr>
          <w:rFonts w:asciiTheme="minorHAnsi" w:hAnsiTheme="minorHAnsi" w:cstheme="minorHAnsi"/>
          <w:color w:val="auto"/>
        </w:rPr>
      </w:pPr>
      <w:r w:rsidRPr="003F0EA6">
        <w:rPr>
          <w:rFonts w:asciiTheme="minorHAnsi" w:hAnsiTheme="minorHAnsi" w:cstheme="minorHAnsi"/>
          <w:color w:val="auto"/>
        </w:rPr>
        <w:t>Subject to permitted estimations and approximations, we certify the accuracy of the information furnished pursuant to regulations 17(5</w:t>
      </w:r>
      <w:proofErr w:type="gramStart"/>
      <w:r w:rsidRPr="003F0EA6">
        <w:rPr>
          <w:rFonts w:asciiTheme="minorHAnsi" w:hAnsiTheme="minorHAnsi" w:cstheme="minorHAnsi"/>
          <w:color w:val="auto"/>
        </w:rPr>
        <w:t>)(</w:t>
      </w:r>
      <w:proofErr w:type="gramEnd"/>
      <w:r w:rsidRPr="003F0EA6">
        <w:rPr>
          <w:rFonts w:asciiTheme="minorHAnsi" w:hAnsiTheme="minorHAnsi" w:cstheme="minorHAnsi"/>
          <w:color w:val="auto"/>
        </w:rPr>
        <w:t>a)(</w:t>
      </w:r>
      <w:proofErr w:type="spellStart"/>
      <w:r w:rsidRPr="003F0EA6">
        <w:rPr>
          <w:rFonts w:asciiTheme="minorHAnsi" w:hAnsiTheme="minorHAnsi" w:cstheme="minorHAnsi"/>
          <w:color w:val="auto"/>
        </w:rPr>
        <w:t>i</w:t>
      </w:r>
      <w:proofErr w:type="spellEnd"/>
      <w:r w:rsidRPr="003F0EA6">
        <w:rPr>
          <w:rFonts w:asciiTheme="minorHAnsi" w:hAnsiTheme="minorHAnsi" w:cstheme="minorHAnsi"/>
          <w:color w:val="auto"/>
        </w:rPr>
        <w:t>)</w:t>
      </w:r>
      <w:r w:rsidR="00BD2342" w:rsidRPr="003F0EA6">
        <w:rPr>
          <w:rFonts w:asciiTheme="minorHAnsi" w:hAnsiTheme="minorHAnsi" w:cstheme="minorHAnsi"/>
          <w:color w:val="auto"/>
        </w:rPr>
        <w:t>(B)</w:t>
      </w:r>
      <w:r w:rsidRPr="003F0EA6">
        <w:rPr>
          <w:rFonts w:asciiTheme="minorHAnsi" w:hAnsiTheme="minorHAnsi" w:cstheme="minorHAnsi"/>
          <w:color w:val="auto"/>
        </w:rPr>
        <w:t xml:space="preserve"> and (</w:t>
      </w:r>
      <w:r w:rsidR="00BD2342" w:rsidRPr="003F0EA6">
        <w:rPr>
          <w:rFonts w:asciiTheme="minorHAnsi" w:hAnsiTheme="minorHAnsi" w:cstheme="minorHAnsi"/>
          <w:color w:val="auto"/>
        </w:rPr>
        <w:t>C</w:t>
      </w:r>
      <w:r w:rsidRPr="003F0EA6">
        <w:rPr>
          <w:rFonts w:asciiTheme="minorHAnsi" w:hAnsiTheme="minorHAnsi" w:cstheme="minorHAnsi"/>
          <w:color w:val="auto"/>
        </w:rPr>
        <w:t>)</w:t>
      </w:r>
      <w:r w:rsidRPr="003F0EA6">
        <w:rPr>
          <w:rStyle w:val="FootnoteReference"/>
          <w:rFonts w:asciiTheme="minorHAnsi" w:hAnsiTheme="minorHAnsi" w:cstheme="minorHAnsi"/>
          <w:color w:val="auto"/>
        </w:rPr>
        <w:footnoteReference w:id="4"/>
      </w:r>
      <w:r w:rsidRPr="003F0EA6">
        <w:rPr>
          <w:rFonts w:asciiTheme="minorHAnsi" w:hAnsiTheme="minorHAnsi" w:cstheme="minorHAnsi"/>
          <w:color w:val="auto"/>
        </w:rPr>
        <w:t>.</w:t>
      </w:r>
    </w:p>
    <w:p w:rsidR="00CB7088" w:rsidRPr="003F0EA6" w:rsidRDefault="00CB7088" w:rsidP="00946488">
      <w:pPr>
        <w:numPr>
          <w:ilvl w:val="1"/>
          <w:numId w:val="1"/>
        </w:numPr>
        <w:tabs>
          <w:tab w:val="left" w:pos="680"/>
        </w:tabs>
        <w:spacing w:before="120" w:after="0" w:line="240" w:lineRule="auto"/>
        <w:jc w:val="both"/>
        <w:rPr>
          <w:rFonts w:eastAsia="MS Mincho" w:cstheme="minorHAnsi"/>
          <w:color w:val="000000"/>
        </w:rPr>
      </w:pPr>
      <w:r w:rsidRPr="003F0EA6">
        <w:rPr>
          <w:rFonts w:eastAsia="MS Mincho" w:cstheme="minorHAnsi"/>
          <w:color w:val="000000"/>
        </w:rPr>
        <w:t xml:space="preserve">We certify that there was no material change in the share ownership or share </w:t>
      </w:r>
      <w:r w:rsidRPr="003F0EA6">
        <w:rPr>
          <w:rFonts w:eastAsia="MS Mincho" w:cstheme="minorHAnsi"/>
        </w:rPr>
        <w:t xml:space="preserve">structure of the </w:t>
      </w:r>
      <w:r w:rsidR="0032084E" w:rsidRPr="003F0EA6">
        <w:rPr>
          <w:rFonts w:eastAsia="MS Mincho" w:cstheme="minorHAnsi"/>
        </w:rPr>
        <w:t>Insurer</w:t>
      </w:r>
      <w:r w:rsidRPr="003F0EA6">
        <w:rPr>
          <w:rFonts w:eastAsia="MS Mincho" w:cstheme="minorHAnsi"/>
        </w:rPr>
        <w:t xml:space="preserve"> during </w:t>
      </w:r>
      <w:r w:rsidRPr="003F0EA6">
        <w:rPr>
          <w:rFonts w:eastAsia="MS Mincho" w:cstheme="minorHAnsi"/>
          <w:color w:val="000000"/>
        </w:rPr>
        <w:t xml:space="preserve">the </w:t>
      </w:r>
      <w:r w:rsidR="00EC6603" w:rsidRPr="003F0EA6">
        <w:rPr>
          <w:rFonts w:eastAsia="MS Mincho" w:cstheme="minorHAnsi"/>
          <w:color w:val="000000"/>
        </w:rPr>
        <w:t>relevant period</w:t>
      </w:r>
      <w:r w:rsidRPr="003F0EA6">
        <w:rPr>
          <w:rFonts w:eastAsia="MS Mincho" w:cstheme="minorHAnsi"/>
          <w:color w:val="000000"/>
        </w:rPr>
        <w:t xml:space="preserve"> (apart from the change notified to Authority in writing on [insert date(s)]*).</w:t>
      </w:r>
    </w:p>
    <w:p w:rsidR="008C330C" w:rsidRPr="003F0EA6" w:rsidRDefault="008C330C" w:rsidP="00946488">
      <w:pPr>
        <w:numPr>
          <w:ilvl w:val="1"/>
          <w:numId w:val="1"/>
        </w:numPr>
        <w:tabs>
          <w:tab w:val="left" w:pos="680"/>
        </w:tabs>
        <w:spacing w:before="120" w:after="0" w:line="240" w:lineRule="auto"/>
        <w:jc w:val="both"/>
        <w:rPr>
          <w:rFonts w:eastAsia="MS Mincho" w:cstheme="minorHAnsi"/>
          <w:color w:val="000000"/>
        </w:rPr>
      </w:pPr>
      <w:r w:rsidRPr="003F0EA6">
        <w:rPr>
          <w:rFonts w:eastAsia="MS Mincho" w:cstheme="minorHAnsi"/>
          <w:color w:val="000000"/>
        </w:rPr>
        <w:t>In this certificate, the confirmation in paragraph (1) and the certifications in paragraphs (2) to (5) are applicable to the Insurer’s core and each of its cells</w:t>
      </w:r>
      <w:r w:rsidR="00CB6493" w:rsidRPr="003F0EA6">
        <w:rPr>
          <w:rStyle w:val="FootnoteReference"/>
          <w:rFonts w:eastAsia="MS Mincho" w:cstheme="minorHAnsi"/>
          <w:color w:val="000000"/>
        </w:rPr>
        <w:footnoteReference w:id="5"/>
      </w:r>
      <w:r w:rsidRPr="003F0EA6">
        <w:rPr>
          <w:rFonts w:eastAsia="MS Mincho" w:cstheme="minorHAnsi"/>
          <w:color w:val="000000"/>
        </w:rPr>
        <w:t xml:space="preserve">, as follows [specify the name or designation (as applicable) of each such cell]. </w:t>
      </w:r>
    </w:p>
    <w:p w:rsidR="00475E98" w:rsidRDefault="00475E9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</w:p>
    <w:p w:rsidR="00CB7088" w:rsidRPr="003F0EA6" w:rsidRDefault="00CB708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  <w:r w:rsidRPr="003F0EA6">
        <w:rPr>
          <w:rFonts w:eastAsia="Times New Roman" w:cstheme="minorHAnsi"/>
          <w:snapToGrid w:val="0"/>
          <w:color w:val="000000"/>
        </w:rPr>
        <w:t>Director</w:t>
      </w:r>
    </w:p>
    <w:p w:rsidR="00475E98" w:rsidRDefault="00475E9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</w:p>
    <w:p w:rsidR="00CB7088" w:rsidRPr="007E7524" w:rsidRDefault="00CB708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  <w:r w:rsidRPr="003F0EA6">
        <w:rPr>
          <w:rFonts w:eastAsia="Times New Roman" w:cstheme="minorHAnsi"/>
          <w:snapToGrid w:val="0"/>
          <w:color w:val="000000"/>
        </w:rPr>
        <w:lastRenderedPageBreak/>
        <w:t>Director</w:t>
      </w:r>
    </w:p>
    <w:p w:rsidR="00475E98" w:rsidRDefault="00475E9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</w:p>
    <w:p w:rsidR="00CB7088" w:rsidRPr="007E7524" w:rsidRDefault="00CB708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  <w:r w:rsidRPr="007E7524">
        <w:rPr>
          <w:rFonts w:eastAsia="Times New Roman" w:cstheme="minorHAnsi"/>
          <w:snapToGrid w:val="0"/>
          <w:color w:val="000000"/>
        </w:rPr>
        <w:t>Date</w:t>
      </w:r>
    </w:p>
    <w:p w:rsidR="00475E98" w:rsidRDefault="00475E9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</w:p>
    <w:p w:rsidR="00CB7088" w:rsidRPr="007E7524" w:rsidRDefault="00CB7088" w:rsidP="00A312A1">
      <w:pPr>
        <w:tabs>
          <w:tab w:val="left" w:pos="680"/>
        </w:tabs>
        <w:suppressAutoHyphens/>
        <w:spacing w:before="80" w:after="0" w:line="240" w:lineRule="auto"/>
        <w:jc w:val="both"/>
        <w:rPr>
          <w:rFonts w:eastAsia="Times New Roman" w:cstheme="minorHAnsi"/>
          <w:snapToGrid w:val="0"/>
          <w:color w:val="000000"/>
        </w:rPr>
      </w:pPr>
      <w:r w:rsidRPr="007E7524">
        <w:rPr>
          <w:rFonts w:eastAsia="Times New Roman" w:cstheme="minorHAnsi"/>
          <w:snapToGrid w:val="0"/>
          <w:color w:val="000000"/>
        </w:rPr>
        <w:t>* Delete or include as appropriate</w:t>
      </w:r>
    </w:p>
    <w:sectPr w:rsidR="00CB7088" w:rsidRPr="007E75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5" w:rsidRDefault="006B49E5" w:rsidP="007C1DAF">
      <w:pPr>
        <w:spacing w:after="0" w:line="240" w:lineRule="auto"/>
      </w:pPr>
      <w:r>
        <w:separator/>
      </w:r>
    </w:p>
  </w:endnote>
  <w:endnote w:type="continuationSeparator" w:id="0">
    <w:p w:rsidR="006B49E5" w:rsidRDefault="006B49E5" w:rsidP="007C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IOM">
    <w:altName w:val="Cambria Math"/>
    <w:charset w:val="00"/>
    <w:family w:val="roman"/>
    <w:pitch w:val="variable"/>
    <w:sig w:usb0="00000001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5" w:rsidRDefault="006B49E5" w:rsidP="007C1DAF">
      <w:pPr>
        <w:spacing w:after="0" w:line="240" w:lineRule="auto"/>
      </w:pPr>
      <w:r>
        <w:separator/>
      </w:r>
    </w:p>
  </w:footnote>
  <w:footnote w:type="continuationSeparator" w:id="0">
    <w:p w:rsidR="006B49E5" w:rsidRDefault="006B49E5" w:rsidP="007C1DAF">
      <w:pPr>
        <w:spacing w:after="0" w:line="240" w:lineRule="auto"/>
      </w:pPr>
      <w:r>
        <w:continuationSeparator/>
      </w:r>
    </w:p>
  </w:footnote>
  <w:footnote w:id="1">
    <w:p w:rsidR="007E7524" w:rsidRPr="007E7524" w:rsidRDefault="007E7524" w:rsidP="007E7524">
      <w:pPr>
        <w:pStyle w:val="FootnoteText"/>
        <w:jc w:val="both"/>
        <w:rPr>
          <w:rFonts w:cstheme="minorHAnsi"/>
        </w:rPr>
      </w:pPr>
      <w:r w:rsidRPr="007E7524">
        <w:rPr>
          <w:rStyle w:val="FootnoteReference"/>
          <w:rFonts w:cstheme="minorHAnsi"/>
        </w:rPr>
        <w:footnoteRef/>
      </w:r>
      <w:r w:rsidRPr="007E7524">
        <w:rPr>
          <w:rFonts w:cstheme="minorHAnsi"/>
        </w:rPr>
        <w:t xml:space="preserve"> Any reference to a regulation</w:t>
      </w:r>
      <w:r w:rsidR="00BD2342">
        <w:rPr>
          <w:rFonts w:cstheme="minorHAnsi"/>
        </w:rPr>
        <w:t xml:space="preserve"> </w:t>
      </w:r>
      <w:r w:rsidRPr="007E7524">
        <w:rPr>
          <w:rFonts w:cstheme="minorHAnsi"/>
        </w:rPr>
        <w:t xml:space="preserve">within this </w:t>
      </w:r>
      <w:r w:rsidR="00D545A3">
        <w:rPr>
          <w:rFonts w:cstheme="minorHAnsi"/>
        </w:rPr>
        <w:t>certificate</w:t>
      </w:r>
      <w:r w:rsidRPr="007E7524">
        <w:rPr>
          <w:rFonts w:cstheme="minorHAnsi"/>
        </w:rPr>
        <w:t xml:space="preserve"> is in respect of the Insurance Regulations 2021</w:t>
      </w:r>
      <w:r w:rsidR="00BD2342">
        <w:rPr>
          <w:rFonts w:cstheme="minorHAnsi"/>
        </w:rPr>
        <w:t xml:space="preserve"> (where applicable, the regulations are as amended by Schedule 5 to those regulations)</w:t>
      </w:r>
      <w:r w:rsidRPr="007E7524">
        <w:rPr>
          <w:rFonts w:cstheme="minorHAnsi"/>
        </w:rPr>
        <w:t>.</w:t>
      </w:r>
    </w:p>
  </w:footnote>
  <w:footnote w:id="2">
    <w:p w:rsidR="008C330C" w:rsidRDefault="008C33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6493">
        <w:t xml:space="preserve">In this certificate, </w:t>
      </w:r>
      <w:r>
        <w:t>“PCC” has the meaning given in the Insurance Regulations 2021.</w:t>
      </w:r>
    </w:p>
  </w:footnote>
  <w:footnote w:id="3">
    <w:p w:rsidR="000C5CA3" w:rsidRDefault="007C1DAF" w:rsidP="00B51110">
      <w:pPr>
        <w:pStyle w:val="FootnoteText"/>
        <w:jc w:val="both"/>
        <w:rPr>
          <w:rFonts w:cstheme="minorHAnsi"/>
        </w:rPr>
      </w:pPr>
      <w:r w:rsidRPr="007E7524">
        <w:rPr>
          <w:rStyle w:val="FootnoteReference"/>
          <w:rFonts w:cstheme="minorHAnsi"/>
        </w:rPr>
        <w:footnoteRef/>
      </w:r>
      <w:r w:rsidRPr="007E7524">
        <w:rPr>
          <w:rFonts w:cstheme="minorHAnsi"/>
        </w:rPr>
        <w:t xml:space="preserve"> Regula</w:t>
      </w:r>
      <w:r w:rsidR="006B061A" w:rsidRPr="007E7524">
        <w:rPr>
          <w:rFonts w:cstheme="minorHAnsi"/>
        </w:rPr>
        <w:t>tion 17(5)(a)</w:t>
      </w:r>
      <w:r w:rsidR="009F0D5F" w:rsidRPr="007E7524">
        <w:rPr>
          <w:rFonts w:cstheme="minorHAnsi"/>
        </w:rPr>
        <w:t>(</w:t>
      </w:r>
      <w:proofErr w:type="spellStart"/>
      <w:r w:rsidR="009F0D5F" w:rsidRPr="007E7524">
        <w:rPr>
          <w:rFonts w:cstheme="minorHAnsi"/>
        </w:rPr>
        <w:t>i</w:t>
      </w:r>
      <w:proofErr w:type="spellEnd"/>
      <w:r w:rsidR="009F0D5F" w:rsidRPr="007E7524">
        <w:rPr>
          <w:rFonts w:cstheme="minorHAnsi"/>
        </w:rPr>
        <w:t>)</w:t>
      </w:r>
      <w:r w:rsidR="00BD2342">
        <w:rPr>
          <w:rFonts w:cstheme="minorHAnsi"/>
        </w:rPr>
        <w:t>(A)</w:t>
      </w:r>
      <w:r w:rsidR="006B061A" w:rsidRPr="007E7524">
        <w:rPr>
          <w:rFonts w:cstheme="minorHAnsi"/>
        </w:rPr>
        <w:t xml:space="preserve"> refers to particular elements</w:t>
      </w:r>
      <w:r w:rsidR="00F41331">
        <w:rPr>
          <w:rFonts w:cstheme="minorHAnsi"/>
        </w:rPr>
        <w:t xml:space="preserve"> (</w:t>
      </w:r>
      <w:r w:rsidR="00F41331">
        <w:t>information in respect of</w:t>
      </w:r>
      <w:r w:rsidR="00F41331">
        <w:rPr>
          <w:rFonts w:cstheme="minorHAnsi"/>
        </w:rPr>
        <w:t xml:space="preserve"> the </w:t>
      </w:r>
      <w:r w:rsidR="00352D19">
        <w:t>I</w:t>
      </w:r>
      <w:r w:rsidR="00F41331">
        <w:t>nsurer’s regulatory economic balance sheet and SCR and MCR results)</w:t>
      </w:r>
      <w:r w:rsidR="006B061A" w:rsidRPr="007E7524">
        <w:rPr>
          <w:rFonts w:cstheme="minorHAnsi"/>
        </w:rPr>
        <w:t xml:space="preserve"> of the</w:t>
      </w:r>
      <w:r w:rsidRPr="007E7524">
        <w:rPr>
          <w:rFonts w:cstheme="minorHAnsi"/>
        </w:rPr>
        <w:t xml:space="preserve"> </w:t>
      </w:r>
      <w:r w:rsidR="006B061A" w:rsidRPr="007E7524">
        <w:rPr>
          <w:rFonts w:cstheme="minorHAnsi"/>
        </w:rPr>
        <w:t>regulatory reporting</w:t>
      </w:r>
      <w:r w:rsidRPr="007E7524">
        <w:rPr>
          <w:rFonts w:cstheme="minorHAnsi"/>
        </w:rPr>
        <w:t xml:space="preserve"> requirements published by the Authority under regulation 17(4), pursuant to regulation 17(1)(</w:t>
      </w:r>
      <w:r w:rsidR="009F0D5F" w:rsidRPr="007E7524">
        <w:rPr>
          <w:rFonts w:cstheme="minorHAnsi"/>
        </w:rPr>
        <w:t>a</w:t>
      </w:r>
      <w:r w:rsidRPr="007E7524">
        <w:rPr>
          <w:rFonts w:cstheme="minorHAnsi"/>
        </w:rPr>
        <w:t xml:space="preserve">) </w:t>
      </w:r>
      <w:r w:rsidR="006B061A" w:rsidRPr="007E7524">
        <w:rPr>
          <w:rFonts w:cstheme="minorHAnsi"/>
        </w:rPr>
        <w:t>(“annual return”).  Those information requirements are set out in document</w:t>
      </w:r>
      <w:r w:rsidR="000C5CA3">
        <w:t>–</w:t>
      </w:r>
      <w:r w:rsidR="006B061A" w:rsidRPr="007E7524">
        <w:rPr>
          <w:rFonts w:cstheme="minorHAnsi"/>
        </w:rPr>
        <w:t xml:space="preserve"> </w:t>
      </w:r>
    </w:p>
    <w:p w:rsidR="000C5CA3" w:rsidRPr="000C5CA3" w:rsidRDefault="000C5CA3" w:rsidP="000C5CA3">
      <w:pPr>
        <w:pStyle w:val="FootnoteText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C5CA3">
        <w:rPr>
          <w:rFonts w:cstheme="minorHAnsi"/>
        </w:rPr>
        <w:t>LTB_Return</w:t>
      </w:r>
      <w:proofErr w:type="spellEnd"/>
      <w:r w:rsidRPr="000C5CA3">
        <w:rPr>
          <w:rFonts w:cstheme="minorHAnsi"/>
        </w:rPr>
        <w:t>;</w:t>
      </w:r>
    </w:p>
    <w:p w:rsidR="000C5CA3" w:rsidRPr="000C5CA3" w:rsidRDefault="000C5CA3" w:rsidP="000C5CA3">
      <w:pPr>
        <w:pStyle w:val="FootnoteText"/>
        <w:numPr>
          <w:ilvl w:val="0"/>
          <w:numId w:val="4"/>
        </w:numPr>
        <w:jc w:val="both"/>
        <w:rPr>
          <w:rFonts w:cstheme="minorHAnsi"/>
        </w:rPr>
      </w:pPr>
      <w:r w:rsidRPr="000C5CA3">
        <w:rPr>
          <w:rFonts w:cstheme="minorHAnsi"/>
        </w:rPr>
        <w:t xml:space="preserve">NLT_Return_Class_3-9&amp;11; or </w:t>
      </w:r>
    </w:p>
    <w:p w:rsidR="000C5CA3" w:rsidRPr="000C5CA3" w:rsidRDefault="000C5CA3" w:rsidP="000C5CA3">
      <w:pPr>
        <w:pStyle w:val="FootnoteText"/>
        <w:numPr>
          <w:ilvl w:val="0"/>
          <w:numId w:val="4"/>
        </w:numPr>
        <w:jc w:val="both"/>
        <w:rPr>
          <w:rFonts w:cstheme="minorHAnsi"/>
        </w:rPr>
      </w:pPr>
      <w:r w:rsidRPr="000C5CA3">
        <w:rPr>
          <w:rFonts w:cstheme="minorHAnsi"/>
        </w:rPr>
        <w:t>NLT_Return_Class_</w:t>
      </w:r>
      <w:r w:rsidRPr="00E32333">
        <w:rPr>
          <w:rFonts w:cstheme="minorHAnsi"/>
        </w:rPr>
        <w:t>12</w:t>
      </w:r>
      <w:r w:rsidR="00C461C2" w:rsidRPr="00E32333">
        <w:rPr>
          <w:rFonts w:cstheme="minorHAnsi"/>
        </w:rPr>
        <w:t xml:space="preserve"> (as may be amended by paragraph 4.11 of the Guidance Notes and Information Concerning Various Regulations and the CGC)</w:t>
      </w:r>
      <w:r w:rsidRPr="00E32333">
        <w:rPr>
          <w:rFonts w:cstheme="minorHAnsi"/>
        </w:rPr>
        <w:t>,</w:t>
      </w:r>
      <w:r w:rsidRPr="000C5CA3">
        <w:rPr>
          <w:rFonts w:cstheme="minorHAnsi"/>
        </w:rPr>
        <w:t xml:space="preserve"> </w:t>
      </w:r>
    </w:p>
    <w:p w:rsidR="007C1DAF" w:rsidRDefault="00352D19" w:rsidP="000C5CA3">
      <w:pPr>
        <w:pStyle w:val="FootnoteText"/>
        <w:jc w:val="both"/>
      </w:pPr>
      <w:proofErr w:type="gramStart"/>
      <w:r>
        <w:rPr>
          <w:rFonts w:cstheme="minorHAnsi"/>
        </w:rPr>
        <w:t>as</w:t>
      </w:r>
      <w:proofErr w:type="gramEnd"/>
      <w:r>
        <w:rPr>
          <w:rFonts w:cstheme="minorHAnsi"/>
        </w:rPr>
        <w:t xml:space="preserve"> is applicable to the I</w:t>
      </w:r>
      <w:r w:rsidR="000C5CA3" w:rsidRPr="000C5CA3">
        <w:rPr>
          <w:rFonts w:cstheme="minorHAnsi"/>
        </w:rPr>
        <w:t>nsurer, and where the current version of which is publi</w:t>
      </w:r>
      <w:r w:rsidR="000C5CA3">
        <w:rPr>
          <w:rFonts w:cstheme="minorHAnsi"/>
        </w:rPr>
        <w:t>shed on the Authority’s website</w:t>
      </w:r>
      <w:r w:rsidR="006B061A" w:rsidRPr="007E7524">
        <w:rPr>
          <w:rFonts w:cstheme="minorHAnsi"/>
        </w:rPr>
        <w:t>.</w:t>
      </w:r>
      <w:r w:rsidR="006B061A" w:rsidRPr="007E7524">
        <w:rPr>
          <w:rFonts w:cstheme="minorHAnsi"/>
          <w:sz w:val="22"/>
          <w:szCs w:val="22"/>
        </w:rPr>
        <w:t xml:space="preserve"> </w:t>
      </w:r>
    </w:p>
  </w:footnote>
  <w:footnote w:id="4">
    <w:p w:rsidR="00715844" w:rsidRDefault="00715844" w:rsidP="007158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7524">
        <w:rPr>
          <w:rFonts w:cstheme="minorHAnsi"/>
        </w:rPr>
        <w:t>Regulation</w:t>
      </w:r>
      <w:r>
        <w:rPr>
          <w:rFonts w:cstheme="minorHAnsi"/>
        </w:rPr>
        <w:t>s</w:t>
      </w:r>
      <w:r w:rsidRPr="007E7524">
        <w:rPr>
          <w:rFonts w:cstheme="minorHAnsi"/>
        </w:rPr>
        <w:t xml:space="preserve"> 17(5)(a)</w:t>
      </w:r>
      <w:r w:rsidR="00BD2342">
        <w:rPr>
          <w:rFonts w:cstheme="minorHAnsi"/>
        </w:rPr>
        <w:t>(</w:t>
      </w:r>
      <w:proofErr w:type="spellStart"/>
      <w:r w:rsidR="00BD2342">
        <w:rPr>
          <w:rFonts w:cstheme="minorHAnsi"/>
        </w:rPr>
        <w:t>i</w:t>
      </w:r>
      <w:proofErr w:type="spellEnd"/>
      <w:r w:rsidRPr="007E7524">
        <w:rPr>
          <w:rFonts w:cstheme="minorHAnsi"/>
        </w:rPr>
        <w:t>)</w:t>
      </w:r>
      <w:r w:rsidR="00BD2342">
        <w:rPr>
          <w:rFonts w:cstheme="minorHAnsi"/>
        </w:rPr>
        <w:t>(B)</w:t>
      </w:r>
      <w:r>
        <w:rPr>
          <w:rFonts w:cstheme="minorHAnsi"/>
        </w:rPr>
        <w:t xml:space="preserve"> and (</w:t>
      </w:r>
      <w:r w:rsidR="00BD2342">
        <w:rPr>
          <w:rFonts w:cstheme="minorHAnsi"/>
        </w:rPr>
        <w:t>C</w:t>
      </w:r>
      <w:r>
        <w:rPr>
          <w:rFonts w:cstheme="minorHAnsi"/>
        </w:rPr>
        <w:t>) refer to the remaining elements (other s</w:t>
      </w:r>
      <w:r w:rsidRPr="00715844">
        <w:rPr>
          <w:rFonts w:cstheme="minorHAnsi"/>
        </w:rPr>
        <w:t xml:space="preserve">upplementary information about the </w:t>
      </w:r>
      <w:r>
        <w:rPr>
          <w:rFonts w:cstheme="minorHAnsi"/>
        </w:rPr>
        <w:t>I</w:t>
      </w:r>
      <w:r w:rsidRPr="00715844">
        <w:rPr>
          <w:rFonts w:cstheme="minorHAnsi"/>
        </w:rPr>
        <w:t>nsurer’s</w:t>
      </w:r>
      <w:r>
        <w:rPr>
          <w:rFonts w:cstheme="minorHAnsi"/>
        </w:rPr>
        <w:t xml:space="preserve"> </w:t>
      </w:r>
      <w:r w:rsidRPr="00715844">
        <w:rPr>
          <w:rFonts w:cstheme="minorHAnsi"/>
        </w:rPr>
        <w:t>business</w:t>
      </w:r>
      <w:r>
        <w:rPr>
          <w:rFonts w:cstheme="minorHAnsi"/>
        </w:rPr>
        <w:t xml:space="preserve"> and </w:t>
      </w:r>
      <w:r w:rsidRPr="00715844">
        <w:rPr>
          <w:rFonts w:cstheme="minorHAnsi"/>
        </w:rPr>
        <w:t>general information and statistical data in relation to the</w:t>
      </w:r>
      <w:r>
        <w:rPr>
          <w:rFonts w:cstheme="minorHAnsi"/>
        </w:rPr>
        <w:t xml:space="preserve"> I</w:t>
      </w:r>
      <w:r w:rsidRPr="00715844">
        <w:rPr>
          <w:rFonts w:cstheme="minorHAnsi"/>
        </w:rPr>
        <w:t>nsurer</w:t>
      </w:r>
      <w:r>
        <w:rPr>
          <w:rFonts w:cstheme="minorHAnsi"/>
        </w:rPr>
        <w:t xml:space="preserve">) </w:t>
      </w:r>
      <w:r w:rsidRPr="00715844">
        <w:rPr>
          <w:rFonts w:cstheme="minorHAnsi"/>
        </w:rPr>
        <w:t>of the regulatory reporting requirements published by the Authority under regulation 17(4), pursuant to regulation 17(1)(a) (“annual return”)</w:t>
      </w:r>
      <w:r w:rsidR="005532AE">
        <w:rPr>
          <w:rFonts w:cstheme="minorHAnsi"/>
        </w:rPr>
        <w:t>.  Those requirements are also set out in the documents referred to in footnote 3, as applicable</w:t>
      </w:r>
      <w:r w:rsidR="005532AE" w:rsidRPr="005532AE">
        <w:rPr>
          <w:rFonts w:cstheme="minorHAnsi"/>
        </w:rPr>
        <w:t xml:space="preserve"> </w:t>
      </w:r>
      <w:r w:rsidR="005532AE">
        <w:rPr>
          <w:rFonts w:cstheme="minorHAnsi"/>
        </w:rPr>
        <w:t>to the I</w:t>
      </w:r>
      <w:r w:rsidR="005532AE" w:rsidRPr="000C5CA3">
        <w:rPr>
          <w:rFonts w:cstheme="minorHAnsi"/>
        </w:rPr>
        <w:t>nsurer</w:t>
      </w:r>
      <w:r w:rsidR="005532AE">
        <w:rPr>
          <w:rFonts w:cstheme="minorHAnsi"/>
        </w:rPr>
        <w:t>.</w:t>
      </w:r>
    </w:p>
  </w:footnote>
  <w:footnote w:id="5">
    <w:p w:rsidR="00CB6493" w:rsidRDefault="00CB6493">
      <w:pPr>
        <w:pStyle w:val="FootnoteText"/>
      </w:pPr>
      <w:r>
        <w:rPr>
          <w:rStyle w:val="FootnoteReference"/>
        </w:rPr>
        <w:footnoteRef/>
      </w:r>
      <w:r>
        <w:t xml:space="preserve"> In this certificate, “core” and “cell” </w:t>
      </w:r>
      <w:r w:rsidRPr="00CB6493">
        <w:t>ha</w:t>
      </w:r>
      <w:r>
        <w:t>ve</w:t>
      </w:r>
      <w:r w:rsidRPr="00CB6493">
        <w:t xml:space="preserve"> the meaning</w:t>
      </w:r>
      <w:r>
        <w:t>s</w:t>
      </w:r>
      <w:r w:rsidRPr="00CB6493">
        <w:t xml:space="preserve"> given in the Insurance Regulations 2021</w:t>
      </w:r>
      <w:r>
        <w:t xml:space="preserve"> respectively.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AF" w:rsidRDefault="00C461C2">
    <w:pPr>
      <w:pStyle w:val="Header"/>
    </w:pPr>
    <w:r w:rsidRPr="00E32333">
      <w:t xml:space="preserve">Version 02, issued on 28 March </w:t>
    </w:r>
    <w:r w:rsidR="007A01AF" w:rsidRPr="00E32333">
      <w:t>202</w:t>
    </w:r>
    <w:r w:rsidRPr="00E3233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BA7"/>
    <w:multiLevelType w:val="multilevel"/>
    <w:tmpl w:val="B39E23B2"/>
    <w:lvl w:ilvl="0">
      <w:start w:val="1"/>
      <w:numFmt w:val="decimal"/>
      <w:pStyle w:val="IOMScheduleSection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IOMScheduleSubSectio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680"/>
      </w:pPr>
      <w:rPr>
        <w:rFonts w:hint="default"/>
      </w:rPr>
    </w:lvl>
  </w:abstractNum>
  <w:abstractNum w:abstractNumId="1" w15:restartNumberingAfterBreak="0">
    <w:nsid w:val="79A20D44"/>
    <w:multiLevelType w:val="hybridMultilevel"/>
    <w:tmpl w:val="2CDA2C58"/>
    <w:lvl w:ilvl="0" w:tplc="83028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88"/>
    <w:rsid w:val="00041300"/>
    <w:rsid w:val="0006685C"/>
    <w:rsid w:val="000C5CA3"/>
    <w:rsid w:val="000C5FD3"/>
    <w:rsid w:val="00133836"/>
    <w:rsid w:val="00141A84"/>
    <w:rsid w:val="001455E8"/>
    <w:rsid w:val="0015742A"/>
    <w:rsid w:val="00164313"/>
    <w:rsid w:val="001C1F6A"/>
    <w:rsid w:val="001E77E2"/>
    <w:rsid w:val="00202B88"/>
    <w:rsid w:val="00263830"/>
    <w:rsid w:val="0032084E"/>
    <w:rsid w:val="00335172"/>
    <w:rsid w:val="00352D19"/>
    <w:rsid w:val="00373889"/>
    <w:rsid w:val="00386310"/>
    <w:rsid w:val="003F0EA6"/>
    <w:rsid w:val="00410E4F"/>
    <w:rsid w:val="00452744"/>
    <w:rsid w:val="00475E98"/>
    <w:rsid w:val="004A4904"/>
    <w:rsid w:val="004A6739"/>
    <w:rsid w:val="005232BB"/>
    <w:rsid w:val="005532AE"/>
    <w:rsid w:val="005728F5"/>
    <w:rsid w:val="0058767D"/>
    <w:rsid w:val="005C7FD0"/>
    <w:rsid w:val="006222FD"/>
    <w:rsid w:val="006B061A"/>
    <w:rsid w:val="006B49E5"/>
    <w:rsid w:val="00715844"/>
    <w:rsid w:val="007A01AF"/>
    <w:rsid w:val="007C1DAF"/>
    <w:rsid w:val="007C75F3"/>
    <w:rsid w:val="007E7524"/>
    <w:rsid w:val="007F768F"/>
    <w:rsid w:val="0081036A"/>
    <w:rsid w:val="008143D5"/>
    <w:rsid w:val="0082769F"/>
    <w:rsid w:val="008C330C"/>
    <w:rsid w:val="008E3473"/>
    <w:rsid w:val="00936372"/>
    <w:rsid w:val="00936C0F"/>
    <w:rsid w:val="00945C70"/>
    <w:rsid w:val="00946488"/>
    <w:rsid w:val="009D385F"/>
    <w:rsid w:val="009F0D5F"/>
    <w:rsid w:val="00A166E0"/>
    <w:rsid w:val="00A20DD7"/>
    <w:rsid w:val="00A312A1"/>
    <w:rsid w:val="00A45177"/>
    <w:rsid w:val="00AC033C"/>
    <w:rsid w:val="00B51110"/>
    <w:rsid w:val="00B71BB7"/>
    <w:rsid w:val="00BD2342"/>
    <w:rsid w:val="00C461C2"/>
    <w:rsid w:val="00C80E43"/>
    <w:rsid w:val="00C9392D"/>
    <w:rsid w:val="00CB6493"/>
    <w:rsid w:val="00CB7088"/>
    <w:rsid w:val="00CD7F55"/>
    <w:rsid w:val="00D05319"/>
    <w:rsid w:val="00D545A3"/>
    <w:rsid w:val="00DC6C58"/>
    <w:rsid w:val="00DF45BD"/>
    <w:rsid w:val="00E12290"/>
    <w:rsid w:val="00E32333"/>
    <w:rsid w:val="00E570E9"/>
    <w:rsid w:val="00E638CE"/>
    <w:rsid w:val="00EC6603"/>
    <w:rsid w:val="00EE2CE7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28A96-9215-46E8-8BF5-1FCC019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MScheduleSection">
    <w:name w:val="*IOM_Schedule_Section"/>
    <w:rsid w:val="00CB7088"/>
    <w:pPr>
      <w:keepNext/>
      <w:widowControl w:val="0"/>
      <w:numPr>
        <w:numId w:val="1"/>
      </w:numPr>
      <w:tabs>
        <w:tab w:val="left" w:pos="680"/>
      </w:tabs>
      <w:suppressAutoHyphens/>
      <w:spacing w:before="360" w:after="120" w:line="240" w:lineRule="auto"/>
      <w:jc w:val="both"/>
      <w:outlineLvl w:val="0"/>
    </w:pPr>
    <w:rPr>
      <w:rFonts w:ascii="Palatino IOM" w:eastAsia="MS Mincho" w:hAnsi="Palatino IOM" w:cs="Times New Roman"/>
      <w:b/>
      <w:color w:val="000000"/>
      <w:sz w:val="24"/>
    </w:rPr>
  </w:style>
  <w:style w:type="paragraph" w:customStyle="1" w:styleId="IOMScheduleSubSection">
    <w:name w:val="*IOM_Schedule_SubSection"/>
    <w:qFormat/>
    <w:rsid w:val="00CB7088"/>
    <w:pPr>
      <w:numPr>
        <w:ilvl w:val="1"/>
        <w:numId w:val="1"/>
      </w:numPr>
      <w:tabs>
        <w:tab w:val="left" w:pos="680"/>
      </w:tabs>
      <w:spacing w:before="120" w:after="0" w:line="240" w:lineRule="auto"/>
      <w:jc w:val="both"/>
    </w:pPr>
    <w:rPr>
      <w:rFonts w:ascii="Palatino IOM" w:eastAsia="MS Mincho" w:hAnsi="Palatino IOM" w:cs="Times New Roman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CB7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088"/>
    <w:pPr>
      <w:spacing w:after="0" w:line="240" w:lineRule="auto"/>
    </w:pPr>
    <w:rPr>
      <w:rFonts w:ascii="Palatino IOM" w:eastAsia="Times New Roman" w:hAnsi="Palatino IOM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088"/>
    <w:rPr>
      <w:rFonts w:ascii="Palatino IOM" w:eastAsia="Times New Roman" w:hAnsi="Palatino IOM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CE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CE7"/>
    <w:rPr>
      <w:rFonts w:ascii="Palatino IOM" w:eastAsia="Times New Roman" w:hAnsi="Palatino IOM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D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D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D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2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42"/>
  </w:style>
  <w:style w:type="paragraph" w:styleId="Footer">
    <w:name w:val="footer"/>
    <w:basedOn w:val="Normal"/>
    <w:link w:val="FooterChar"/>
    <w:uiPriority w:val="99"/>
    <w:unhideWhenUsed/>
    <w:rsid w:val="00BD2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5460-0E50-47E6-8673-3E1B4ACE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Shimmin, Donna</cp:lastModifiedBy>
  <cp:revision>3</cp:revision>
  <cp:lastPrinted>2022-06-13T09:36:00Z</cp:lastPrinted>
  <dcterms:created xsi:type="dcterms:W3CDTF">2023-03-28T12:08:00Z</dcterms:created>
  <dcterms:modified xsi:type="dcterms:W3CDTF">2023-03-28T12:08:00Z</dcterms:modified>
</cp:coreProperties>
</file>