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AB0A32" w14:textId="77777777" w:rsidR="003157E3" w:rsidRPr="003157E3" w:rsidRDefault="003157E3" w:rsidP="003157E3">
      <w:pPr>
        <w:pStyle w:val="Title"/>
      </w:pPr>
    </w:p>
    <w:p w14:paraId="2EB2D9EF" w14:textId="77777777" w:rsidR="003157E3" w:rsidRPr="003A33C5" w:rsidRDefault="003157E3" w:rsidP="003157E3">
      <w:pPr>
        <w:pStyle w:val="Title"/>
        <w:rPr>
          <w:color w:val="005782"/>
        </w:rPr>
      </w:pPr>
      <w:r w:rsidRPr="003A33C5">
        <w:rPr>
          <w:color w:val="005782"/>
        </w:rPr>
        <w:t>GUIDANCE FOR PREPARING</w:t>
      </w:r>
    </w:p>
    <w:p w14:paraId="50F38B74" w14:textId="48BE9241" w:rsidR="003157E3" w:rsidRPr="00943D70" w:rsidRDefault="00123974" w:rsidP="00943D70">
      <w:pPr>
        <w:pStyle w:val="Title"/>
        <w:rPr>
          <w:color w:val="005782"/>
        </w:rPr>
      </w:pPr>
      <w:r>
        <w:rPr>
          <w:color w:val="005782"/>
        </w:rPr>
        <w:t>NET STABLE FUNDING</w:t>
      </w:r>
      <w:r w:rsidR="00090EA4" w:rsidRPr="00943D70">
        <w:rPr>
          <w:color w:val="005782"/>
        </w:rPr>
        <w:t xml:space="preserve"> RATIO</w:t>
      </w:r>
      <w:r w:rsidR="00943D70" w:rsidRPr="00943D70">
        <w:rPr>
          <w:color w:val="005782"/>
        </w:rPr>
        <w:t xml:space="preserve"> (</w:t>
      </w:r>
      <w:r>
        <w:rPr>
          <w:color w:val="005782"/>
        </w:rPr>
        <w:t>NSFR</w:t>
      </w:r>
      <w:r w:rsidR="00943D70" w:rsidRPr="00943D70">
        <w:rPr>
          <w:color w:val="005782"/>
        </w:rPr>
        <w:t>) REPORTING FORM</w:t>
      </w:r>
    </w:p>
    <w:p w14:paraId="2A39CED6" w14:textId="77777777" w:rsidR="003157E3" w:rsidRDefault="003157E3"/>
    <w:p w14:paraId="06C0BE97" w14:textId="77777777" w:rsidR="003157E3" w:rsidRDefault="003157E3" w:rsidP="003157E3"/>
    <w:sdt>
      <w:sdtPr>
        <w:rPr>
          <w:rFonts w:asciiTheme="minorHAnsi" w:eastAsiaTheme="minorHAnsi" w:hAnsiTheme="minorHAnsi" w:cstheme="minorBidi"/>
          <w:color w:val="auto"/>
          <w:sz w:val="24"/>
          <w:szCs w:val="22"/>
          <w:lang w:val="en-GB"/>
        </w:rPr>
        <w:id w:val="1993208444"/>
        <w:docPartObj>
          <w:docPartGallery w:val="Table of Contents"/>
          <w:docPartUnique/>
        </w:docPartObj>
      </w:sdtPr>
      <w:sdtEndPr>
        <w:rPr>
          <w:b/>
          <w:bCs/>
          <w:noProof/>
        </w:rPr>
      </w:sdtEndPr>
      <w:sdtContent>
        <w:p w14:paraId="2B5C47FA" w14:textId="77777777" w:rsidR="00AF6487" w:rsidRPr="003A33C5" w:rsidRDefault="00AF6487">
          <w:pPr>
            <w:pStyle w:val="TOCHeading"/>
            <w:rPr>
              <w:rFonts w:asciiTheme="minorHAnsi" w:hAnsiTheme="minorHAnsi" w:cstheme="minorHAnsi"/>
              <w:b/>
              <w:color w:val="005782"/>
            </w:rPr>
          </w:pPr>
          <w:r w:rsidRPr="003A33C5">
            <w:rPr>
              <w:rFonts w:asciiTheme="minorHAnsi" w:hAnsiTheme="minorHAnsi" w:cstheme="minorHAnsi"/>
              <w:b/>
              <w:color w:val="005782"/>
            </w:rPr>
            <w:t>Contents</w:t>
          </w:r>
        </w:p>
        <w:p w14:paraId="5CFF0118" w14:textId="68DE567B" w:rsidR="005E08E7" w:rsidRDefault="00AF6487">
          <w:pPr>
            <w:pStyle w:val="TOC1"/>
            <w:tabs>
              <w:tab w:val="right" w:leader="dot" w:pos="9016"/>
            </w:tabs>
            <w:rPr>
              <w:rFonts w:eastAsiaTheme="minorEastAsia"/>
              <w:noProof/>
              <w:kern w:val="2"/>
              <w:szCs w:val="24"/>
              <w:lang w:eastAsia="en-GB"/>
              <w14:ligatures w14:val="standardContextual"/>
            </w:rPr>
          </w:pPr>
          <w:r>
            <w:fldChar w:fldCharType="begin"/>
          </w:r>
          <w:r>
            <w:instrText xml:space="preserve"> TOC \o "1-3" \h \z \u </w:instrText>
          </w:r>
          <w:r>
            <w:fldChar w:fldCharType="separate"/>
          </w:r>
          <w:hyperlink w:anchor="_Toc201849529" w:history="1">
            <w:r w:rsidR="005E08E7" w:rsidRPr="00244AF1">
              <w:rPr>
                <w:rStyle w:val="Hyperlink"/>
                <w:noProof/>
              </w:rPr>
              <w:t>General Information</w:t>
            </w:r>
            <w:r w:rsidR="005E08E7">
              <w:rPr>
                <w:noProof/>
                <w:webHidden/>
              </w:rPr>
              <w:tab/>
            </w:r>
            <w:r w:rsidR="005E08E7">
              <w:rPr>
                <w:noProof/>
                <w:webHidden/>
              </w:rPr>
              <w:fldChar w:fldCharType="begin"/>
            </w:r>
            <w:r w:rsidR="005E08E7">
              <w:rPr>
                <w:noProof/>
                <w:webHidden/>
              </w:rPr>
              <w:instrText xml:space="preserve"> PAGEREF _Toc201849529 \h </w:instrText>
            </w:r>
            <w:r w:rsidR="005E08E7">
              <w:rPr>
                <w:noProof/>
                <w:webHidden/>
              </w:rPr>
            </w:r>
            <w:r w:rsidR="005E08E7">
              <w:rPr>
                <w:noProof/>
                <w:webHidden/>
              </w:rPr>
              <w:fldChar w:fldCharType="separate"/>
            </w:r>
            <w:r w:rsidR="002B3353">
              <w:rPr>
                <w:noProof/>
                <w:webHidden/>
              </w:rPr>
              <w:t>2</w:t>
            </w:r>
            <w:r w:rsidR="005E08E7">
              <w:rPr>
                <w:noProof/>
                <w:webHidden/>
              </w:rPr>
              <w:fldChar w:fldCharType="end"/>
            </w:r>
          </w:hyperlink>
        </w:p>
        <w:p w14:paraId="3DD9EF54" w14:textId="3AC8248D" w:rsidR="005E08E7" w:rsidRDefault="005E08E7">
          <w:pPr>
            <w:pStyle w:val="TOC1"/>
            <w:tabs>
              <w:tab w:val="right" w:leader="dot" w:pos="9016"/>
            </w:tabs>
            <w:rPr>
              <w:rFonts w:eastAsiaTheme="minorEastAsia"/>
              <w:noProof/>
              <w:kern w:val="2"/>
              <w:szCs w:val="24"/>
              <w:lang w:eastAsia="en-GB"/>
              <w14:ligatures w14:val="standardContextual"/>
            </w:rPr>
          </w:pPr>
          <w:hyperlink w:anchor="_Toc201849530" w:history="1">
            <w:r w:rsidRPr="00244AF1">
              <w:rPr>
                <w:rStyle w:val="Hyperlink"/>
                <w:noProof/>
              </w:rPr>
              <w:t>Cover Sheet</w:t>
            </w:r>
            <w:r>
              <w:rPr>
                <w:noProof/>
                <w:webHidden/>
              </w:rPr>
              <w:tab/>
            </w:r>
            <w:r>
              <w:rPr>
                <w:noProof/>
                <w:webHidden/>
              </w:rPr>
              <w:fldChar w:fldCharType="begin"/>
            </w:r>
            <w:r>
              <w:rPr>
                <w:noProof/>
                <w:webHidden/>
              </w:rPr>
              <w:instrText xml:space="preserve"> PAGEREF _Toc201849530 \h </w:instrText>
            </w:r>
            <w:r>
              <w:rPr>
                <w:noProof/>
                <w:webHidden/>
              </w:rPr>
            </w:r>
            <w:r>
              <w:rPr>
                <w:noProof/>
                <w:webHidden/>
              </w:rPr>
              <w:fldChar w:fldCharType="separate"/>
            </w:r>
            <w:r w:rsidR="002B3353">
              <w:rPr>
                <w:noProof/>
                <w:webHidden/>
              </w:rPr>
              <w:t>4</w:t>
            </w:r>
            <w:r>
              <w:rPr>
                <w:noProof/>
                <w:webHidden/>
              </w:rPr>
              <w:fldChar w:fldCharType="end"/>
            </w:r>
          </w:hyperlink>
        </w:p>
        <w:p w14:paraId="6CBF3BC9" w14:textId="159F9F2C" w:rsidR="005E08E7" w:rsidRDefault="005E08E7">
          <w:pPr>
            <w:pStyle w:val="TOC1"/>
            <w:tabs>
              <w:tab w:val="right" w:leader="dot" w:pos="9016"/>
            </w:tabs>
            <w:rPr>
              <w:rFonts w:eastAsiaTheme="minorEastAsia"/>
              <w:noProof/>
              <w:kern w:val="2"/>
              <w:szCs w:val="24"/>
              <w:lang w:eastAsia="en-GB"/>
              <w14:ligatures w14:val="standardContextual"/>
            </w:rPr>
          </w:pPr>
          <w:hyperlink w:anchor="_Toc201849531" w:history="1">
            <w:r w:rsidRPr="00244AF1">
              <w:rPr>
                <w:rStyle w:val="Hyperlink"/>
                <w:noProof/>
              </w:rPr>
              <w:t>Glossary of Terms</w:t>
            </w:r>
            <w:r>
              <w:rPr>
                <w:noProof/>
                <w:webHidden/>
              </w:rPr>
              <w:tab/>
            </w:r>
            <w:r>
              <w:rPr>
                <w:noProof/>
                <w:webHidden/>
              </w:rPr>
              <w:fldChar w:fldCharType="begin"/>
            </w:r>
            <w:r>
              <w:rPr>
                <w:noProof/>
                <w:webHidden/>
              </w:rPr>
              <w:instrText xml:space="preserve"> PAGEREF _Toc201849531 \h </w:instrText>
            </w:r>
            <w:r>
              <w:rPr>
                <w:noProof/>
                <w:webHidden/>
              </w:rPr>
            </w:r>
            <w:r>
              <w:rPr>
                <w:noProof/>
                <w:webHidden/>
              </w:rPr>
              <w:fldChar w:fldCharType="separate"/>
            </w:r>
            <w:r w:rsidR="002B3353">
              <w:rPr>
                <w:noProof/>
                <w:webHidden/>
              </w:rPr>
              <w:t>5</w:t>
            </w:r>
            <w:r>
              <w:rPr>
                <w:noProof/>
                <w:webHidden/>
              </w:rPr>
              <w:fldChar w:fldCharType="end"/>
            </w:r>
          </w:hyperlink>
        </w:p>
        <w:p w14:paraId="7F6578CA" w14:textId="0A71F4CB" w:rsidR="005E08E7" w:rsidRDefault="005E08E7">
          <w:pPr>
            <w:pStyle w:val="TOC1"/>
            <w:tabs>
              <w:tab w:val="left" w:pos="480"/>
              <w:tab w:val="right" w:leader="dot" w:pos="9016"/>
            </w:tabs>
            <w:rPr>
              <w:rFonts w:eastAsiaTheme="minorEastAsia"/>
              <w:noProof/>
              <w:kern w:val="2"/>
              <w:szCs w:val="24"/>
              <w:lang w:eastAsia="en-GB"/>
              <w14:ligatures w14:val="standardContextual"/>
            </w:rPr>
          </w:pPr>
          <w:hyperlink w:anchor="_Toc201849532" w:history="1">
            <w:r w:rsidRPr="00244AF1">
              <w:rPr>
                <w:rStyle w:val="Hyperlink"/>
                <w:noProof/>
              </w:rPr>
              <w:t>1.</w:t>
            </w:r>
            <w:r>
              <w:rPr>
                <w:rFonts w:eastAsiaTheme="minorEastAsia"/>
                <w:noProof/>
                <w:kern w:val="2"/>
                <w:szCs w:val="24"/>
                <w:lang w:eastAsia="en-GB"/>
                <w14:ligatures w14:val="standardContextual"/>
              </w:rPr>
              <w:tab/>
            </w:r>
            <w:r w:rsidRPr="00244AF1">
              <w:rPr>
                <w:rStyle w:val="Hyperlink"/>
                <w:noProof/>
              </w:rPr>
              <w:t>Introduction of the Net Stable Funding Ratio (NSFR)</w:t>
            </w:r>
            <w:r>
              <w:rPr>
                <w:noProof/>
                <w:webHidden/>
              </w:rPr>
              <w:tab/>
            </w:r>
            <w:r>
              <w:rPr>
                <w:noProof/>
                <w:webHidden/>
              </w:rPr>
              <w:fldChar w:fldCharType="begin"/>
            </w:r>
            <w:r>
              <w:rPr>
                <w:noProof/>
                <w:webHidden/>
              </w:rPr>
              <w:instrText xml:space="preserve"> PAGEREF _Toc201849532 \h </w:instrText>
            </w:r>
            <w:r>
              <w:rPr>
                <w:noProof/>
                <w:webHidden/>
              </w:rPr>
            </w:r>
            <w:r>
              <w:rPr>
                <w:noProof/>
                <w:webHidden/>
              </w:rPr>
              <w:fldChar w:fldCharType="separate"/>
            </w:r>
            <w:r w:rsidR="002B3353">
              <w:rPr>
                <w:noProof/>
                <w:webHidden/>
              </w:rPr>
              <w:t>8</w:t>
            </w:r>
            <w:r>
              <w:rPr>
                <w:noProof/>
                <w:webHidden/>
              </w:rPr>
              <w:fldChar w:fldCharType="end"/>
            </w:r>
          </w:hyperlink>
        </w:p>
        <w:p w14:paraId="72D7D770" w14:textId="09F1EE7B" w:rsidR="005E08E7" w:rsidRDefault="005E08E7">
          <w:pPr>
            <w:pStyle w:val="TOC1"/>
            <w:tabs>
              <w:tab w:val="left" w:pos="480"/>
              <w:tab w:val="right" w:leader="dot" w:pos="9016"/>
            </w:tabs>
            <w:rPr>
              <w:rFonts w:eastAsiaTheme="minorEastAsia"/>
              <w:noProof/>
              <w:kern w:val="2"/>
              <w:szCs w:val="24"/>
              <w:lang w:eastAsia="en-GB"/>
              <w14:ligatures w14:val="standardContextual"/>
            </w:rPr>
          </w:pPr>
          <w:hyperlink w:anchor="_Toc201849533" w:history="1">
            <w:r w:rsidRPr="00244AF1">
              <w:rPr>
                <w:rStyle w:val="Hyperlink"/>
                <w:noProof/>
              </w:rPr>
              <w:t>2.</w:t>
            </w:r>
            <w:r>
              <w:rPr>
                <w:rFonts w:eastAsiaTheme="minorEastAsia"/>
                <w:noProof/>
                <w:kern w:val="2"/>
                <w:szCs w:val="24"/>
                <w:lang w:eastAsia="en-GB"/>
                <w14:ligatures w14:val="standardContextual"/>
              </w:rPr>
              <w:tab/>
            </w:r>
            <w:r w:rsidRPr="00244AF1">
              <w:rPr>
                <w:rStyle w:val="Hyperlink"/>
                <w:noProof/>
              </w:rPr>
              <w:t>Net Stable Funding Ratio (NSFR) – General Requirements</w:t>
            </w:r>
            <w:r>
              <w:rPr>
                <w:noProof/>
                <w:webHidden/>
              </w:rPr>
              <w:tab/>
            </w:r>
            <w:r>
              <w:rPr>
                <w:noProof/>
                <w:webHidden/>
              </w:rPr>
              <w:fldChar w:fldCharType="begin"/>
            </w:r>
            <w:r>
              <w:rPr>
                <w:noProof/>
                <w:webHidden/>
              </w:rPr>
              <w:instrText xml:space="preserve"> PAGEREF _Toc201849533 \h </w:instrText>
            </w:r>
            <w:r>
              <w:rPr>
                <w:noProof/>
                <w:webHidden/>
              </w:rPr>
            </w:r>
            <w:r>
              <w:rPr>
                <w:noProof/>
                <w:webHidden/>
              </w:rPr>
              <w:fldChar w:fldCharType="separate"/>
            </w:r>
            <w:r w:rsidR="002B3353">
              <w:rPr>
                <w:noProof/>
                <w:webHidden/>
              </w:rPr>
              <w:t>10</w:t>
            </w:r>
            <w:r>
              <w:rPr>
                <w:noProof/>
                <w:webHidden/>
              </w:rPr>
              <w:fldChar w:fldCharType="end"/>
            </w:r>
          </w:hyperlink>
        </w:p>
        <w:p w14:paraId="5D70DFD8" w14:textId="603BF1EE" w:rsidR="005E08E7" w:rsidRDefault="005E08E7">
          <w:pPr>
            <w:pStyle w:val="TOC1"/>
            <w:tabs>
              <w:tab w:val="left" w:pos="480"/>
              <w:tab w:val="right" w:leader="dot" w:pos="9016"/>
            </w:tabs>
            <w:rPr>
              <w:rFonts w:eastAsiaTheme="minorEastAsia"/>
              <w:noProof/>
              <w:kern w:val="2"/>
              <w:szCs w:val="24"/>
              <w:lang w:eastAsia="en-GB"/>
              <w14:ligatures w14:val="standardContextual"/>
            </w:rPr>
          </w:pPr>
          <w:hyperlink w:anchor="_Toc201849534" w:history="1">
            <w:r w:rsidRPr="00244AF1">
              <w:rPr>
                <w:rStyle w:val="Hyperlink"/>
                <w:noProof/>
              </w:rPr>
              <w:t>3.</w:t>
            </w:r>
            <w:r>
              <w:rPr>
                <w:rFonts w:eastAsiaTheme="minorEastAsia"/>
                <w:noProof/>
                <w:kern w:val="2"/>
                <w:szCs w:val="24"/>
                <w:lang w:eastAsia="en-GB"/>
                <w14:ligatures w14:val="standardContextual"/>
              </w:rPr>
              <w:tab/>
            </w:r>
            <w:r w:rsidRPr="00244AF1">
              <w:rPr>
                <w:rStyle w:val="Hyperlink"/>
                <w:noProof/>
              </w:rPr>
              <w:t>Net Stable Funding Ratio (NSFR) – Available Stable Funding (ASF)</w:t>
            </w:r>
            <w:r>
              <w:rPr>
                <w:noProof/>
                <w:webHidden/>
              </w:rPr>
              <w:tab/>
            </w:r>
            <w:r>
              <w:rPr>
                <w:noProof/>
                <w:webHidden/>
              </w:rPr>
              <w:fldChar w:fldCharType="begin"/>
            </w:r>
            <w:r>
              <w:rPr>
                <w:noProof/>
                <w:webHidden/>
              </w:rPr>
              <w:instrText xml:space="preserve"> PAGEREF _Toc201849534 \h </w:instrText>
            </w:r>
            <w:r>
              <w:rPr>
                <w:noProof/>
                <w:webHidden/>
              </w:rPr>
            </w:r>
            <w:r>
              <w:rPr>
                <w:noProof/>
                <w:webHidden/>
              </w:rPr>
              <w:fldChar w:fldCharType="separate"/>
            </w:r>
            <w:r w:rsidR="002B3353">
              <w:rPr>
                <w:noProof/>
                <w:webHidden/>
              </w:rPr>
              <w:t>11</w:t>
            </w:r>
            <w:r>
              <w:rPr>
                <w:noProof/>
                <w:webHidden/>
              </w:rPr>
              <w:fldChar w:fldCharType="end"/>
            </w:r>
          </w:hyperlink>
        </w:p>
        <w:p w14:paraId="4E483A8F" w14:textId="5CAF6335" w:rsidR="005E08E7" w:rsidRDefault="005E08E7">
          <w:pPr>
            <w:pStyle w:val="TOC1"/>
            <w:tabs>
              <w:tab w:val="left" w:pos="480"/>
              <w:tab w:val="right" w:leader="dot" w:pos="9016"/>
            </w:tabs>
            <w:rPr>
              <w:rFonts w:eastAsiaTheme="minorEastAsia"/>
              <w:noProof/>
              <w:kern w:val="2"/>
              <w:szCs w:val="24"/>
              <w:lang w:eastAsia="en-GB"/>
              <w14:ligatures w14:val="standardContextual"/>
            </w:rPr>
          </w:pPr>
          <w:hyperlink w:anchor="_Toc201849535" w:history="1">
            <w:r w:rsidRPr="00244AF1">
              <w:rPr>
                <w:rStyle w:val="Hyperlink"/>
                <w:noProof/>
              </w:rPr>
              <w:t>4.</w:t>
            </w:r>
            <w:r>
              <w:rPr>
                <w:rFonts w:eastAsiaTheme="minorEastAsia"/>
                <w:noProof/>
                <w:kern w:val="2"/>
                <w:szCs w:val="24"/>
                <w:lang w:eastAsia="en-GB"/>
                <w14:ligatures w14:val="standardContextual"/>
              </w:rPr>
              <w:tab/>
            </w:r>
            <w:r w:rsidRPr="00244AF1">
              <w:rPr>
                <w:rStyle w:val="Hyperlink"/>
                <w:noProof/>
              </w:rPr>
              <w:t>Net Stable Funding Ratio (NSFR) – Required Stable Funding (RSF)</w:t>
            </w:r>
            <w:r>
              <w:rPr>
                <w:noProof/>
                <w:webHidden/>
              </w:rPr>
              <w:tab/>
            </w:r>
            <w:r>
              <w:rPr>
                <w:noProof/>
                <w:webHidden/>
              </w:rPr>
              <w:fldChar w:fldCharType="begin"/>
            </w:r>
            <w:r>
              <w:rPr>
                <w:noProof/>
                <w:webHidden/>
              </w:rPr>
              <w:instrText xml:space="preserve"> PAGEREF _Toc201849535 \h </w:instrText>
            </w:r>
            <w:r>
              <w:rPr>
                <w:noProof/>
                <w:webHidden/>
              </w:rPr>
            </w:r>
            <w:r>
              <w:rPr>
                <w:noProof/>
                <w:webHidden/>
              </w:rPr>
              <w:fldChar w:fldCharType="separate"/>
            </w:r>
            <w:r w:rsidR="002B3353">
              <w:rPr>
                <w:noProof/>
                <w:webHidden/>
              </w:rPr>
              <w:t>15</w:t>
            </w:r>
            <w:r>
              <w:rPr>
                <w:noProof/>
                <w:webHidden/>
              </w:rPr>
              <w:fldChar w:fldCharType="end"/>
            </w:r>
          </w:hyperlink>
        </w:p>
        <w:p w14:paraId="43FB58AA" w14:textId="532C4E41" w:rsidR="005E08E7" w:rsidRDefault="005E08E7">
          <w:pPr>
            <w:pStyle w:val="TOC1"/>
            <w:tabs>
              <w:tab w:val="left" w:pos="480"/>
              <w:tab w:val="right" w:leader="dot" w:pos="9016"/>
            </w:tabs>
            <w:rPr>
              <w:rFonts w:eastAsiaTheme="minorEastAsia"/>
              <w:noProof/>
              <w:kern w:val="2"/>
              <w:szCs w:val="24"/>
              <w:lang w:eastAsia="en-GB"/>
              <w14:ligatures w14:val="standardContextual"/>
            </w:rPr>
          </w:pPr>
          <w:hyperlink w:anchor="_Toc201849536" w:history="1">
            <w:r w:rsidRPr="00244AF1">
              <w:rPr>
                <w:rStyle w:val="Hyperlink"/>
                <w:noProof/>
              </w:rPr>
              <w:t>5.</w:t>
            </w:r>
            <w:r>
              <w:rPr>
                <w:rFonts w:eastAsiaTheme="minorEastAsia"/>
                <w:noProof/>
                <w:kern w:val="2"/>
                <w:szCs w:val="24"/>
                <w:lang w:eastAsia="en-GB"/>
                <w14:ligatures w14:val="standardContextual"/>
              </w:rPr>
              <w:tab/>
            </w:r>
            <w:r w:rsidRPr="00244AF1">
              <w:rPr>
                <w:rStyle w:val="Hyperlink"/>
                <w:noProof/>
              </w:rPr>
              <w:t>NSFR Calculation</w:t>
            </w:r>
            <w:r>
              <w:rPr>
                <w:noProof/>
                <w:webHidden/>
              </w:rPr>
              <w:tab/>
            </w:r>
            <w:r>
              <w:rPr>
                <w:noProof/>
                <w:webHidden/>
              </w:rPr>
              <w:fldChar w:fldCharType="begin"/>
            </w:r>
            <w:r>
              <w:rPr>
                <w:noProof/>
                <w:webHidden/>
              </w:rPr>
              <w:instrText xml:space="preserve"> PAGEREF _Toc201849536 \h </w:instrText>
            </w:r>
            <w:r>
              <w:rPr>
                <w:noProof/>
                <w:webHidden/>
              </w:rPr>
            </w:r>
            <w:r>
              <w:rPr>
                <w:noProof/>
                <w:webHidden/>
              </w:rPr>
              <w:fldChar w:fldCharType="separate"/>
            </w:r>
            <w:r w:rsidR="002B3353">
              <w:rPr>
                <w:noProof/>
                <w:webHidden/>
              </w:rPr>
              <w:t>22</w:t>
            </w:r>
            <w:r>
              <w:rPr>
                <w:noProof/>
                <w:webHidden/>
              </w:rPr>
              <w:fldChar w:fldCharType="end"/>
            </w:r>
          </w:hyperlink>
        </w:p>
        <w:p w14:paraId="1C854DFF" w14:textId="73F2FA00" w:rsidR="005E08E7" w:rsidRDefault="005E08E7">
          <w:pPr>
            <w:pStyle w:val="TOC1"/>
            <w:tabs>
              <w:tab w:val="right" w:leader="dot" w:pos="9016"/>
            </w:tabs>
            <w:rPr>
              <w:rFonts w:eastAsiaTheme="minorEastAsia"/>
              <w:noProof/>
              <w:kern w:val="2"/>
              <w:szCs w:val="24"/>
              <w:lang w:eastAsia="en-GB"/>
              <w14:ligatures w14:val="standardContextual"/>
            </w:rPr>
          </w:pPr>
          <w:hyperlink w:anchor="_Toc201849537" w:history="1">
            <w:r w:rsidRPr="00244AF1">
              <w:rPr>
                <w:rStyle w:val="Hyperlink"/>
                <w:noProof/>
              </w:rPr>
              <w:t xml:space="preserve">Annex A – </w:t>
            </w:r>
            <w:r w:rsidRPr="00244AF1">
              <w:rPr>
                <w:rStyle w:val="Hyperlink"/>
                <w:rFonts w:ascii="Calibri" w:hAnsi="Calibri" w:cs="Calibri"/>
                <w:bCs/>
                <w:noProof/>
              </w:rPr>
              <w:t>Treatment of Derivatives</w:t>
            </w:r>
            <w:r>
              <w:rPr>
                <w:noProof/>
                <w:webHidden/>
              </w:rPr>
              <w:tab/>
            </w:r>
            <w:r>
              <w:rPr>
                <w:noProof/>
                <w:webHidden/>
              </w:rPr>
              <w:fldChar w:fldCharType="begin"/>
            </w:r>
            <w:r>
              <w:rPr>
                <w:noProof/>
                <w:webHidden/>
              </w:rPr>
              <w:instrText xml:space="preserve"> PAGEREF _Toc201849537 \h </w:instrText>
            </w:r>
            <w:r>
              <w:rPr>
                <w:noProof/>
                <w:webHidden/>
              </w:rPr>
            </w:r>
            <w:r>
              <w:rPr>
                <w:noProof/>
                <w:webHidden/>
              </w:rPr>
              <w:fldChar w:fldCharType="separate"/>
            </w:r>
            <w:r w:rsidR="002B3353">
              <w:rPr>
                <w:noProof/>
                <w:webHidden/>
              </w:rPr>
              <w:t>23</w:t>
            </w:r>
            <w:r>
              <w:rPr>
                <w:noProof/>
                <w:webHidden/>
              </w:rPr>
              <w:fldChar w:fldCharType="end"/>
            </w:r>
          </w:hyperlink>
        </w:p>
        <w:p w14:paraId="410DFA1E" w14:textId="6FCD3FCC" w:rsidR="005E08E7" w:rsidRDefault="005E08E7">
          <w:pPr>
            <w:pStyle w:val="TOC1"/>
            <w:tabs>
              <w:tab w:val="right" w:leader="dot" w:pos="9016"/>
            </w:tabs>
            <w:rPr>
              <w:rFonts w:eastAsiaTheme="minorEastAsia"/>
              <w:noProof/>
              <w:kern w:val="2"/>
              <w:szCs w:val="24"/>
              <w:lang w:eastAsia="en-GB"/>
              <w14:ligatures w14:val="standardContextual"/>
            </w:rPr>
          </w:pPr>
          <w:hyperlink w:anchor="_Toc201849538" w:history="1">
            <w:r w:rsidRPr="00244AF1">
              <w:rPr>
                <w:rStyle w:val="Hyperlink"/>
                <w:noProof/>
              </w:rPr>
              <w:t>Annex B - Eligible Multilateral Development Banks (MDBs)</w:t>
            </w:r>
            <w:r>
              <w:rPr>
                <w:noProof/>
                <w:webHidden/>
              </w:rPr>
              <w:tab/>
            </w:r>
            <w:r>
              <w:rPr>
                <w:noProof/>
                <w:webHidden/>
              </w:rPr>
              <w:fldChar w:fldCharType="begin"/>
            </w:r>
            <w:r>
              <w:rPr>
                <w:noProof/>
                <w:webHidden/>
              </w:rPr>
              <w:instrText xml:space="preserve"> PAGEREF _Toc201849538 \h </w:instrText>
            </w:r>
            <w:r>
              <w:rPr>
                <w:noProof/>
                <w:webHidden/>
              </w:rPr>
            </w:r>
            <w:r>
              <w:rPr>
                <w:noProof/>
                <w:webHidden/>
              </w:rPr>
              <w:fldChar w:fldCharType="separate"/>
            </w:r>
            <w:r w:rsidR="002B3353">
              <w:rPr>
                <w:noProof/>
                <w:webHidden/>
              </w:rPr>
              <w:t>24</w:t>
            </w:r>
            <w:r>
              <w:rPr>
                <w:noProof/>
                <w:webHidden/>
              </w:rPr>
              <w:fldChar w:fldCharType="end"/>
            </w:r>
          </w:hyperlink>
        </w:p>
        <w:p w14:paraId="10110CE2" w14:textId="50411981" w:rsidR="00AF6487" w:rsidRDefault="00AF6487" w:rsidP="00D74E56">
          <w:pPr>
            <w:pStyle w:val="TOC1"/>
            <w:tabs>
              <w:tab w:val="left" w:pos="480"/>
              <w:tab w:val="right" w:leader="dot" w:pos="9016"/>
            </w:tabs>
          </w:pPr>
          <w:r>
            <w:rPr>
              <w:b/>
              <w:bCs/>
              <w:noProof/>
            </w:rPr>
            <w:fldChar w:fldCharType="end"/>
          </w:r>
        </w:p>
      </w:sdtContent>
    </w:sdt>
    <w:p w14:paraId="17801886" w14:textId="1CA4D0E9" w:rsidR="000C0BC9" w:rsidRDefault="000C0BC9">
      <w:r>
        <w:br w:type="page"/>
      </w:r>
    </w:p>
    <w:p w14:paraId="28398148" w14:textId="73F16E3D" w:rsidR="00E12FA8" w:rsidRPr="00560F6F" w:rsidRDefault="00E12FA8" w:rsidP="006E1626">
      <w:pPr>
        <w:pStyle w:val="Heading1"/>
        <w:numPr>
          <w:ilvl w:val="0"/>
          <w:numId w:val="0"/>
        </w:numPr>
        <w:rPr>
          <w:color w:val="005782"/>
        </w:rPr>
      </w:pPr>
      <w:bookmarkStart w:id="0" w:name="_Toc130461778"/>
      <w:bookmarkStart w:id="1" w:name="_Toc201849529"/>
      <w:r w:rsidRPr="00560F6F">
        <w:rPr>
          <w:color w:val="005782"/>
        </w:rPr>
        <w:lastRenderedPageBreak/>
        <w:t>General Information</w:t>
      </w:r>
      <w:bookmarkEnd w:id="0"/>
      <w:bookmarkEnd w:id="1"/>
    </w:p>
    <w:p w14:paraId="510169F7" w14:textId="1C3F93E6" w:rsidR="004404D9" w:rsidRPr="00943D70" w:rsidRDefault="00E12FA8" w:rsidP="004404D9">
      <w:pPr>
        <w:pStyle w:val="ListParagraph"/>
        <w:numPr>
          <w:ilvl w:val="0"/>
          <w:numId w:val="5"/>
        </w:numPr>
        <w:spacing w:before="240" w:after="240" w:line="259" w:lineRule="auto"/>
        <w:jc w:val="both"/>
      </w:pPr>
      <w:r w:rsidRPr="00943D70">
        <w:t xml:space="preserve">The </w:t>
      </w:r>
      <w:r w:rsidR="00123974">
        <w:rPr>
          <w:rFonts w:ascii="Calibri" w:hAnsi="Calibri" w:cs="Calibri"/>
          <w:szCs w:val="24"/>
        </w:rPr>
        <w:t>NSFR</w:t>
      </w:r>
      <w:r w:rsidR="00F12A3B" w:rsidRPr="00943D70">
        <w:rPr>
          <w:rFonts w:ascii="Calibri" w:hAnsi="Calibri" w:cs="Calibri"/>
          <w:szCs w:val="24"/>
        </w:rPr>
        <w:t xml:space="preserve"> Reporting Form </w:t>
      </w:r>
      <w:r w:rsidRPr="00943D70">
        <w:t xml:space="preserve">(the “return”) is applicable to </w:t>
      </w:r>
      <w:r w:rsidR="00F12A3B" w:rsidRPr="00943D70">
        <w:t>banks incorporated in the Isle of Man</w:t>
      </w:r>
      <w:r w:rsidRPr="00943D70">
        <w:t xml:space="preserve"> licensed </w:t>
      </w:r>
      <w:r w:rsidR="007642F3" w:rsidRPr="00943D70">
        <w:t>under</w:t>
      </w:r>
      <w:r w:rsidRPr="00943D70">
        <w:t xml:space="preserve"> the Financial Services Act 2008 to conduct </w:t>
      </w:r>
      <w:r w:rsidR="004404D9" w:rsidRPr="00943D70">
        <w:rPr>
          <w:rFonts w:ascii="Calibri" w:hAnsi="Calibri" w:cs="Calibri"/>
          <w:szCs w:val="24"/>
        </w:rPr>
        <w:t>Class 1(1) or Class 1(2) deposit taking.</w:t>
      </w:r>
    </w:p>
    <w:p w14:paraId="5E976DBE" w14:textId="77777777" w:rsidR="004404D9" w:rsidRPr="00DE0729" w:rsidRDefault="004404D9" w:rsidP="004404D9">
      <w:pPr>
        <w:pStyle w:val="ListParagraph"/>
        <w:spacing w:before="240" w:after="240" w:line="259" w:lineRule="auto"/>
        <w:ind w:left="360"/>
        <w:jc w:val="both"/>
      </w:pPr>
    </w:p>
    <w:p w14:paraId="0F460475" w14:textId="193977CC" w:rsidR="00123974" w:rsidRDefault="004404D9" w:rsidP="00123974">
      <w:pPr>
        <w:pStyle w:val="ListParagraph"/>
        <w:numPr>
          <w:ilvl w:val="0"/>
          <w:numId w:val="5"/>
        </w:numPr>
        <w:spacing w:before="240" w:after="240" w:line="259" w:lineRule="auto"/>
        <w:jc w:val="both"/>
      </w:pPr>
      <w:r w:rsidRPr="00DE0729">
        <w:rPr>
          <w:rFonts w:ascii="Calibri" w:hAnsi="Calibri" w:cs="Calibri"/>
          <w:szCs w:val="24"/>
        </w:rPr>
        <w:t xml:space="preserve">Rule 2.20(1) states that a bank must prepare deposit taking returns and Rule 2.20(4) states that the deposit taking returns must be in the format specified by the Authority, containing the information required by, and calculated in accordance with, the specifications. </w:t>
      </w:r>
      <w:proofErr w:type="gramStart"/>
      <w:r w:rsidRPr="00DE0729">
        <w:rPr>
          <w:rFonts w:ascii="Calibri" w:hAnsi="Calibri" w:cs="Calibri"/>
          <w:szCs w:val="24"/>
        </w:rPr>
        <w:t>For the purpose of</w:t>
      </w:r>
      <w:proofErr w:type="gramEnd"/>
      <w:r w:rsidRPr="00DE0729">
        <w:rPr>
          <w:rFonts w:ascii="Calibri" w:hAnsi="Calibri" w:cs="Calibri"/>
          <w:szCs w:val="24"/>
        </w:rPr>
        <w:t xml:space="preserve"> Rule 2.20(4), the </w:t>
      </w:r>
      <w:r w:rsidR="00123974">
        <w:rPr>
          <w:rFonts w:ascii="Calibri" w:hAnsi="Calibri" w:cs="Calibri"/>
          <w:szCs w:val="24"/>
        </w:rPr>
        <w:t>NSFR</w:t>
      </w:r>
      <w:r w:rsidRPr="00DE0729">
        <w:rPr>
          <w:rFonts w:ascii="Calibri" w:hAnsi="Calibri" w:cs="Calibri"/>
          <w:szCs w:val="24"/>
        </w:rPr>
        <w:t xml:space="preserve"> Reporting Form is a form specified by the Authority which should be completed as set out in this guidance.</w:t>
      </w:r>
    </w:p>
    <w:p w14:paraId="3E098BD3" w14:textId="77777777" w:rsidR="00123974" w:rsidRPr="00123974" w:rsidRDefault="00123974" w:rsidP="00123974">
      <w:pPr>
        <w:pStyle w:val="ListParagraph"/>
        <w:spacing w:before="240" w:after="240" w:line="259" w:lineRule="auto"/>
        <w:ind w:left="360"/>
        <w:jc w:val="both"/>
      </w:pPr>
    </w:p>
    <w:p w14:paraId="6721597D" w14:textId="48CDFC11" w:rsidR="005364C8" w:rsidRPr="00DE0729" w:rsidRDefault="005364C8" w:rsidP="00F81828">
      <w:pPr>
        <w:pStyle w:val="ListParagraph"/>
        <w:numPr>
          <w:ilvl w:val="0"/>
          <w:numId w:val="5"/>
        </w:numPr>
        <w:jc w:val="both"/>
        <w:rPr>
          <w:rFonts w:ascii="Calibri" w:hAnsi="Calibri" w:cs="Calibri"/>
          <w:szCs w:val="24"/>
        </w:rPr>
      </w:pPr>
      <w:r w:rsidRPr="00DE0729">
        <w:rPr>
          <w:rFonts w:ascii="Calibri" w:hAnsi="Calibri" w:cs="Calibri"/>
          <w:szCs w:val="24"/>
        </w:rPr>
        <w:t>Attention is drawn to Rule 5.14 of the Financial Services Rule Book (“the Rule Book”) which requires that the external auditors of the bank select and verify one set of the reporting forms (other than a set that coincides with the deposit taker’s annual reporting date</w:t>
      </w:r>
      <w:r w:rsidR="00BB5B5E">
        <w:rPr>
          <w:rFonts w:ascii="Calibri" w:hAnsi="Calibri" w:cs="Calibri"/>
          <w:szCs w:val="24"/>
        </w:rPr>
        <w:t>)</w:t>
      </w:r>
      <w:r w:rsidRPr="00DE0729">
        <w:rPr>
          <w:rFonts w:ascii="Calibri" w:hAnsi="Calibri" w:cs="Calibri"/>
          <w:szCs w:val="24"/>
        </w:rPr>
        <w:t xml:space="preserve"> which has been submitted to the Authority during the relevant accounting period, to the accounting books and records of the bank.</w:t>
      </w:r>
    </w:p>
    <w:p w14:paraId="74727139" w14:textId="77777777" w:rsidR="00F12A3B" w:rsidRPr="00E76ABD" w:rsidRDefault="00F12A3B" w:rsidP="00E76ABD">
      <w:pPr>
        <w:contextualSpacing/>
        <w:rPr>
          <w:rFonts w:ascii="Calibri" w:hAnsi="Calibri" w:cs="Calibri"/>
          <w:szCs w:val="24"/>
        </w:rPr>
      </w:pPr>
    </w:p>
    <w:p w14:paraId="17B111A2" w14:textId="77777777" w:rsidR="00C1721B" w:rsidRDefault="00E12FA8" w:rsidP="00C1721B">
      <w:pPr>
        <w:pStyle w:val="ListParagraph"/>
        <w:numPr>
          <w:ilvl w:val="0"/>
          <w:numId w:val="5"/>
        </w:numPr>
        <w:spacing w:line="259" w:lineRule="auto"/>
        <w:jc w:val="both"/>
      </w:pPr>
      <w:r w:rsidRPr="00E76ABD">
        <w:t xml:space="preserve">The spreadsheet workbook is “protected” to prevent alterations to the return structure and content </w:t>
      </w:r>
      <w:proofErr w:type="gramStart"/>
      <w:r w:rsidRPr="00E76ABD">
        <w:t>in order for</w:t>
      </w:r>
      <w:proofErr w:type="gramEnd"/>
      <w:r w:rsidRPr="00E76ABD">
        <w:t xml:space="preserve"> the return to be successfully submitted to the Authority’s data warehouse. You must not tamper with the spreadsheet protection and validation or alter the structure or validation by adding or removing spreadsheet tabs or fields. </w:t>
      </w:r>
    </w:p>
    <w:p w14:paraId="7A0912B9" w14:textId="77777777" w:rsidR="00C1721B" w:rsidRDefault="00C1721B" w:rsidP="00C1721B">
      <w:pPr>
        <w:pStyle w:val="ListParagraph"/>
        <w:spacing w:line="259" w:lineRule="auto"/>
        <w:ind w:left="360"/>
        <w:jc w:val="both"/>
      </w:pPr>
    </w:p>
    <w:p w14:paraId="130B67F4" w14:textId="11599EED" w:rsidR="004B6234" w:rsidRDefault="007703ED" w:rsidP="00C1721B">
      <w:pPr>
        <w:pStyle w:val="ListParagraph"/>
        <w:numPr>
          <w:ilvl w:val="0"/>
          <w:numId w:val="5"/>
        </w:numPr>
        <w:spacing w:line="259" w:lineRule="auto"/>
        <w:jc w:val="both"/>
      </w:pPr>
      <w:r w:rsidRPr="0001643A">
        <w:t xml:space="preserve">This guidance document, which generally follows the </w:t>
      </w:r>
      <w:r w:rsidRPr="00C1721B">
        <w:rPr>
          <w:rFonts w:ascii="Calibri" w:hAnsi="Calibri" w:cs="Calibri"/>
          <w:szCs w:val="24"/>
        </w:rPr>
        <w:t xml:space="preserve">Basel III </w:t>
      </w:r>
      <w:r w:rsidR="00123974">
        <w:rPr>
          <w:rFonts w:ascii="Calibri" w:hAnsi="Calibri" w:cs="Calibri"/>
          <w:szCs w:val="24"/>
        </w:rPr>
        <w:t>NSFR</w:t>
      </w:r>
      <w:r w:rsidRPr="00C1721B">
        <w:rPr>
          <w:rFonts w:ascii="Calibri" w:hAnsi="Calibri" w:cs="Calibri"/>
          <w:szCs w:val="24"/>
        </w:rPr>
        <w:t xml:space="preserve"> Standard</w:t>
      </w:r>
      <w:r w:rsidRPr="0001643A">
        <w:rPr>
          <w:rStyle w:val="FootnoteReference"/>
          <w:rFonts w:ascii="Calibri" w:hAnsi="Calibri" w:cs="Calibri"/>
          <w:szCs w:val="24"/>
        </w:rPr>
        <w:footnoteReference w:id="1"/>
      </w:r>
      <w:r w:rsidRPr="00C1721B">
        <w:rPr>
          <w:rFonts w:ascii="Calibri" w:hAnsi="Calibri" w:cs="Calibri"/>
          <w:szCs w:val="24"/>
        </w:rPr>
        <w:t xml:space="preserve">, </w:t>
      </w:r>
      <w:r w:rsidRPr="0001643A">
        <w:t xml:space="preserve">provides direction on how to complete the return. </w:t>
      </w:r>
      <w:r w:rsidR="00C1721B">
        <w:t>F</w:t>
      </w:r>
      <w:r w:rsidRPr="00F0298D">
        <w:t xml:space="preserve">irms must complete all relevant sections of the submission template, in accordance with this guidance. Grey areas within the tables in the return are input cells. Blue areas within tables are calculated fields or fields where no entry is required/permitted. </w:t>
      </w:r>
      <w:r w:rsidR="00E12FA8" w:rsidRPr="00F0298D">
        <w:t>The default value in all grey data cells for completion must be zero (where no other value is entered) and must not be left blank.</w:t>
      </w:r>
      <w:r w:rsidR="00C1721B">
        <w:t xml:space="preserve"> </w:t>
      </w:r>
    </w:p>
    <w:p w14:paraId="379FC5E5" w14:textId="77777777" w:rsidR="004B6234" w:rsidRPr="004B6234" w:rsidRDefault="004B6234" w:rsidP="004B6234">
      <w:pPr>
        <w:pStyle w:val="ListParagraph"/>
        <w:rPr>
          <w:rFonts w:ascii="Calibri" w:hAnsi="Calibri" w:cs="Calibri"/>
          <w:szCs w:val="24"/>
        </w:rPr>
      </w:pPr>
    </w:p>
    <w:p w14:paraId="7D0F0C0E" w14:textId="2A2461F7" w:rsidR="002E4372" w:rsidRPr="00123974" w:rsidRDefault="004B6234" w:rsidP="00123974">
      <w:pPr>
        <w:pStyle w:val="ListParagraph"/>
        <w:numPr>
          <w:ilvl w:val="0"/>
          <w:numId w:val="5"/>
        </w:numPr>
        <w:spacing w:line="259" w:lineRule="auto"/>
        <w:jc w:val="both"/>
      </w:pPr>
      <w:r w:rsidRPr="00123974">
        <w:rPr>
          <w:rFonts w:ascii="Calibri" w:hAnsi="Calibri" w:cs="Calibri"/>
          <w:szCs w:val="24"/>
        </w:rPr>
        <w:t xml:space="preserve">The </w:t>
      </w:r>
      <w:r w:rsidR="00123974" w:rsidRPr="00123974">
        <w:rPr>
          <w:rFonts w:ascii="Calibri" w:hAnsi="Calibri" w:cs="Calibri"/>
          <w:szCs w:val="24"/>
        </w:rPr>
        <w:t>return</w:t>
      </w:r>
      <w:r w:rsidRPr="00650B70">
        <w:rPr>
          <w:rFonts w:ascii="Calibri" w:hAnsi="Calibri" w:cs="Calibri"/>
          <w:szCs w:val="24"/>
        </w:rPr>
        <w:t xml:space="preserve"> must be completed and reported in </w:t>
      </w:r>
      <w:r w:rsidRPr="00650B70">
        <w:rPr>
          <w:rFonts w:ascii="Calibri" w:hAnsi="Calibri" w:cs="Calibri"/>
          <w:szCs w:val="24"/>
          <w:u w:val="single"/>
        </w:rPr>
        <w:t>sterling</w:t>
      </w:r>
      <w:r w:rsidR="00211044" w:rsidRPr="00650B70">
        <w:rPr>
          <w:rFonts w:ascii="Calibri" w:hAnsi="Calibri" w:cs="Calibri"/>
          <w:szCs w:val="24"/>
        </w:rPr>
        <w:t xml:space="preserve">, with </w:t>
      </w:r>
      <w:r w:rsidR="00650B70" w:rsidRPr="00650B70">
        <w:rPr>
          <w:rFonts w:ascii="Calibri" w:hAnsi="Calibri" w:cs="Calibri"/>
          <w:szCs w:val="24"/>
        </w:rPr>
        <w:t xml:space="preserve">any </w:t>
      </w:r>
      <w:r w:rsidR="00211044" w:rsidRPr="00650B70">
        <w:rPr>
          <w:rFonts w:ascii="Calibri" w:hAnsi="Calibri" w:cs="Calibri"/>
          <w:szCs w:val="24"/>
        </w:rPr>
        <w:t xml:space="preserve">other currency business being </w:t>
      </w:r>
      <w:r w:rsidR="00650B70" w:rsidRPr="00650B70">
        <w:rPr>
          <w:rFonts w:ascii="Calibri" w:hAnsi="Calibri" w:cs="Calibri"/>
          <w:szCs w:val="24"/>
        </w:rPr>
        <w:t>calculated</w:t>
      </w:r>
      <w:r w:rsidR="00211044" w:rsidRPr="00650B70">
        <w:rPr>
          <w:rFonts w:ascii="Calibri" w:hAnsi="Calibri" w:cs="Calibri"/>
          <w:szCs w:val="24"/>
        </w:rPr>
        <w:t xml:space="preserve"> as a sterling equivalent figure using the middle market spot rate in the London market at the close of business on the reporting date, or as close to that time as a bank’s system will allow. For transactions, the rate ruling at the time of the transaction should be used.  F</w:t>
      </w:r>
      <w:r w:rsidR="00C1721B" w:rsidRPr="00650B70">
        <w:rPr>
          <w:rFonts w:ascii="Calibri" w:hAnsi="Calibri" w:cs="Calibri"/>
          <w:szCs w:val="24"/>
        </w:rPr>
        <w:t xml:space="preserve">igures reported should be to the nearest thousand pounds sterling (but omitting the “£’000s” - e.g. £5,678,123 should be reported as 5678). Decimal points must not be used. </w:t>
      </w:r>
    </w:p>
    <w:p w14:paraId="65A084B0" w14:textId="77777777" w:rsidR="00C1721B" w:rsidRPr="00712D0E" w:rsidRDefault="00C1721B" w:rsidP="00C1721B">
      <w:pPr>
        <w:spacing w:line="259" w:lineRule="auto"/>
        <w:jc w:val="both"/>
      </w:pPr>
    </w:p>
    <w:p w14:paraId="016143CA" w14:textId="2F75B249" w:rsidR="00F12A3B" w:rsidRPr="00FA24CB" w:rsidRDefault="00712D0E" w:rsidP="004B6234">
      <w:pPr>
        <w:pStyle w:val="ListParagraph"/>
        <w:numPr>
          <w:ilvl w:val="0"/>
          <w:numId w:val="5"/>
        </w:numPr>
        <w:spacing w:line="259" w:lineRule="auto"/>
        <w:jc w:val="both"/>
      </w:pPr>
      <w:r w:rsidRPr="004B6234">
        <w:rPr>
          <w:rFonts w:ascii="Calibri" w:hAnsi="Calibri" w:cs="Calibri"/>
          <w:szCs w:val="24"/>
        </w:rPr>
        <w:t xml:space="preserve">Standard regulatory weightings are generally used. These are shown under the columns headed “Factor”. These standard regulatory weightings will flow through </w:t>
      </w:r>
      <w:r w:rsidR="0077576D">
        <w:rPr>
          <w:rFonts w:ascii="Calibri" w:hAnsi="Calibri" w:cs="Calibri"/>
          <w:szCs w:val="24"/>
        </w:rPr>
        <w:t xml:space="preserve">to </w:t>
      </w:r>
      <w:r w:rsidRPr="004B6234">
        <w:rPr>
          <w:rFonts w:ascii="Calibri" w:hAnsi="Calibri" w:cs="Calibri"/>
          <w:szCs w:val="24"/>
        </w:rPr>
        <w:t>the column headed “</w:t>
      </w:r>
      <w:r w:rsidR="0077576D">
        <w:rPr>
          <w:rFonts w:ascii="Calibri" w:hAnsi="Calibri" w:cs="Calibri"/>
          <w:szCs w:val="24"/>
        </w:rPr>
        <w:t>Calculated Amount”.</w:t>
      </w:r>
    </w:p>
    <w:p w14:paraId="15B57018" w14:textId="77777777" w:rsidR="00FA24CB" w:rsidRDefault="00FA24CB" w:rsidP="00FA24CB">
      <w:pPr>
        <w:pStyle w:val="ListParagraph"/>
        <w:spacing w:line="259" w:lineRule="auto"/>
        <w:ind w:left="360"/>
        <w:jc w:val="both"/>
      </w:pPr>
    </w:p>
    <w:p w14:paraId="471F2A89" w14:textId="293C7B90" w:rsidR="00E12FA8" w:rsidRPr="00BA109D" w:rsidRDefault="00E12FA8" w:rsidP="00BA109D">
      <w:pPr>
        <w:pStyle w:val="ListParagraph"/>
        <w:numPr>
          <w:ilvl w:val="0"/>
          <w:numId w:val="5"/>
        </w:numPr>
        <w:spacing w:before="240" w:after="240" w:line="259" w:lineRule="auto"/>
        <w:jc w:val="both"/>
      </w:pPr>
      <w:r w:rsidRPr="00863E22">
        <w:lastRenderedPageBreak/>
        <w:t xml:space="preserve">Firms should submit the return to </w:t>
      </w:r>
      <w:r w:rsidR="00111AC6">
        <w:t>[</w:t>
      </w:r>
      <w:hyperlink r:id="rId12" w:history="1">
        <w:r w:rsidR="00111AC6" w:rsidRPr="00111AC6">
          <w:rPr>
            <w:b/>
            <w:highlight w:val="cyan"/>
          </w:rPr>
          <w:t>TBC</w:t>
        </w:r>
      </w:hyperlink>
      <w:r w:rsidR="00111AC6">
        <w:t>]</w:t>
      </w:r>
      <w:r w:rsidRPr="00863E22">
        <w:t>.</w:t>
      </w:r>
      <w:r w:rsidR="00CA4F41" w:rsidRPr="00863E22">
        <w:t xml:space="preserve">  </w:t>
      </w:r>
      <w:r w:rsidR="00F12A3B" w:rsidRPr="00863E22">
        <w:rPr>
          <w:rFonts w:ascii="Calibri" w:hAnsi="Calibri" w:cs="Calibri"/>
          <w:szCs w:val="24"/>
        </w:rPr>
        <w:t xml:space="preserve">The </w:t>
      </w:r>
      <w:r w:rsidR="0077576D">
        <w:rPr>
          <w:rFonts w:ascii="Calibri" w:hAnsi="Calibri" w:cs="Calibri"/>
          <w:szCs w:val="24"/>
        </w:rPr>
        <w:t>NSFR</w:t>
      </w:r>
      <w:r w:rsidR="00F12A3B" w:rsidRPr="00863E22">
        <w:rPr>
          <w:rFonts w:ascii="Calibri" w:hAnsi="Calibri" w:cs="Calibri"/>
          <w:szCs w:val="24"/>
        </w:rPr>
        <w:t xml:space="preserve"> Reporting Form must be reported to the Authority on a </w:t>
      </w:r>
      <w:r w:rsidR="00CA4F41" w:rsidRPr="00BA109D">
        <w:rPr>
          <w:rFonts w:ascii="Calibri" w:hAnsi="Calibri" w:cs="Calibri"/>
          <w:b/>
          <w:bCs/>
          <w:i/>
          <w:iCs/>
          <w:szCs w:val="24"/>
        </w:rPr>
        <w:t xml:space="preserve">calendar </w:t>
      </w:r>
      <w:r w:rsidR="00F12A3B" w:rsidRPr="00BA109D">
        <w:rPr>
          <w:rFonts w:ascii="Calibri" w:hAnsi="Calibri" w:cs="Calibri"/>
          <w:b/>
          <w:bCs/>
          <w:i/>
          <w:iCs/>
          <w:szCs w:val="24"/>
        </w:rPr>
        <w:t>quarterly basis</w:t>
      </w:r>
      <w:r w:rsidR="00F12A3B" w:rsidRPr="00863E22">
        <w:rPr>
          <w:rFonts w:ascii="Calibri" w:hAnsi="Calibri" w:cs="Calibri"/>
          <w:szCs w:val="24"/>
        </w:rPr>
        <w:t xml:space="preserve"> as part of the Quarterly Prudential Returns. It should be prepared based on the information as at either the last working day, or the last calendar day, of March, June, September and December.</w:t>
      </w:r>
      <w:r w:rsidR="00CA4F41" w:rsidRPr="00863E22">
        <w:rPr>
          <w:rFonts w:ascii="Calibri" w:hAnsi="Calibri" w:cs="Calibri"/>
          <w:szCs w:val="24"/>
        </w:rPr>
        <w:t xml:space="preserve"> </w:t>
      </w:r>
      <w:r w:rsidR="00CA4F41" w:rsidRPr="00BA109D">
        <w:rPr>
          <w:b/>
          <w:bCs/>
          <w:i/>
          <w:iCs/>
          <w:color w:val="000000" w:themeColor="text1"/>
          <w:szCs w:val="24"/>
        </w:rPr>
        <w:t>Firms must submit the return within one month of each reporting date</w:t>
      </w:r>
      <w:r w:rsidR="007703ED">
        <w:rPr>
          <w:b/>
          <w:bCs/>
          <w:i/>
          <w:iCs/>
          <w:color w:val="000000" w:themeColor="text1"/>
          <w:szCs w:val="24"/>
        </w:rPr>
        <w:t xml:space="preserve"> and earlier submission is encouraged</w:t>
      </w:r>
      <w:r w:rsidR="00CA4F41" w:rsidRPr="00863E22">
        <w:rPr>
          <w:color w:val="000000" w:themeColor="text1"/>
          <w:szCs w:val="24"/>
        </w:rPr>
        <w:t>.</w:t>
      </w:r>
    </w:p>
    <w:p w14:paraId="4D8F7C99" w14:textId="77777777" w:rsidR="00BA109D" w:rsidRDefault="00BA109D" w:rsidP="00BA109D">
      <w:pPr>
        <w:pStyle w:val="ListParagraph"/>
      </w:pPr>
    </w:p>
    <w:p w14:paraId="7C25B4A1" w14:textId="53DC84D7" w:rsidR="00BA109D" w:rsidRPr="004505C0" w:rsidRDefault="00BA109D" w:rsidP="004505C0">
      <w:pPr>
        <w:pStyle w:val="ListParagraph"/>
        <w:numPr>
          <w:ilvl w:val="0"/>
          <w:numId w:val="5"/>
        </w:numPr>
        <w:jc w:val="both"/>
        <w:rPr>
          <w:rFonts w:ascii="Calibri" w:hAnsi="Calibri" w:cs="Calibri"/>
          <w:szCs w:val="24"/>
        </w:rPr>
      </w:pPr>
      <w:r w:rsidRPr="00F07151">
        <w:rPr>
          <w:rFonts w:ascii="Calibri" w:hAnsi="Calibri" w:cs="Calibri"/>
          <w:szCs w:val="24"/>
        </w:rPr>
        <w:t>Banks must have the operational capacity to increase the frequency of reporting</w:t>
      </w:r>
      <w:r w:rsidR="00F07151" w:rsidRPr="00F07151">
        <w:rPr>
          <w:rFonts w:ascii="Calibri" w:hAnsi="Calibri" w:cs="Calibri"/>
          <w:szCs w:val="24"/>
        </w:rPr>
        <w:t>, for example</w:t>
      </w:r>
      <w:r w:rsidRPr="00F07151">
        <w:rPr>
          <w:rFonts w:ascii="Calibri" w:hAnsi="Calibri" w:cs="Calibri"/>
          <w:szCs w:val="24"/>
        </w:rPr>
        <w:t xml:space="preserve"> to </w:t>
      </w:r>
      <w:r w:rsidR="007703ED">
        <w:rPr>
          <w:rFonts w:ascii="Calibri" w:hAnsi="Calibri" w:cs="Calibri"/>
          <w:szCs w:val="24"/>
        </w:rPr>
        <w:t xml:space="preserve">monthly or </w:t>
      </w:r>
      <w:r w:rsidRPr="00F07151">
        <w:rPr>
          <w:rFonts w:ascii="Calibri" w:hAnsi="Calibri" w:cs="Calibri"/>
          <w:szCs w:val="24"/>
        </w:rPr>
        <w:t>weekly in stressed situations at the discretion of the Authority.</w:t>
      </w:r>
    </w:p>
    <w:p w14:paraId="11AF94A0" w14:textId="77777777" w:rsidR="00E12FA8" w:rsidRPr="00863E22" w:rsidRDefault="00E12FA8" w:rsidP="00E12FA8">
      <w:pPr>
        <w:pStyle w:val="ListParagraph"/>
      </w:pPr>
    </w:p>
    <w:p w14:paraId="6F646341" w14:textId="135E15A7" w:rsidR="00E12FA8" w:rsidRPr="00863E22" w:rsidRDefault="00E12FA8" w:rsidP="00CB6C07">
      <w:pPr>
        <w:pStyle w:val="ListParagraph"/>
        <w:numPr>
          <w:ilvl w:val="0"/>
          <w:numId w:val="5"/>
        </w:numPr>
        <w:spacing w:before="240" w:after="240" w:line="259" w:lineRule="auto"/>
        <w:jc w:val="both"/>
      </w:pPr>
      <w:r w:rsidRPr="00863E22">
        <w:t xml:space="preserve">Send any enquiries regarding the completion of the return, or the interpretation of this guidance, to </w:t>
      </w:r>
      <w:r w:rsidR="00111AC6">
        <w:t>[</w:t>
      </w:r>
      <w:r w:rsidR="00111AC6" w:rsidRPr="00111AC6">
        <w:rPr>
          <w:b/>
          <w:highlight w:val="cyan"/>
        </w:rPr>
        <w:t>TBC</w:t>
      </w:r>
      <w:r w:rsidR="00111AC6" w:rsidRPr="00111AC6">
        <w:rPr>
          <w:bCs/>
        </w:rPr>
        <w:t>]</w:t>
      </w:r>
      <w:r w:rsidRPr="00863E22">
        <w:t>.</w:t>
      </w:r>
      <w:r w:rsidRPr="00863E22">
        <w:rPr>
          <w:color w:val="FF0000"/>
        </w:rPr>
        <w:t xml:space="preserve"> </w:t>
      </w:r>
      <w:r w:rsidRPr="00863E22">
        <w:t xml:space="preserve"> </w:t>
      </w:r>
    </w:p>
    <w:p w14:paraId="69DC5FEE" w14:textId="77777777" w:rsidR="00CB6C07" w:rsidRPr="00CB6C07" w:rsidRDefault="00CB6C07" w:rsidP="00CB6C07">
      <w:pPr>
        <w:pStyle w:val="ListParagraph"/>
        <w:spacing w:before="240" w:after="240" w:line="259" w:lineRule="auto"/>
        <w:ind w:left="360"/>
        <w:jc w:val="both"/>
        <w:rPr>
          <w:highlight w:val="yellow"/>
        </w:rPr>
      </w:pPr>
    </w:p>
    <w:p w14:paraId="7940B736" w14:textId="0831ADCE" w:rsidR="00863E22" w:rsidRDefault="00E12FA8" w:rsidP="00A83837">
      <w:pPr>
        <w:pStyle w:val="ListParagraph"/>
        <w:numPr>
          <w:ilvl w:val="0"/>
          <w:numId w:val="5"/>
        </w:numPr>
        <w:spacing w:before="240" w:after="240" w:line="259" w:lineRule="auto"/>
        <w:jc w:val="both"/>
      </w:pPr>
      <w:r w:rsidRPr="004E0921">
        <w:t>Under Section 40 of the Financial Services Act 2008 a person commits an offence if they knowingly or recklessly give any information to the Authority which is false or misleading.</w:t>
      </w:r>
    </w:p>
    <w:p w14:paraId="7AE6ED7C" w14:textId="6191286B" w:rsidR="00863E22" w:rsidRDefault="00863E22">
      <w:r>
        <w:br w:type="page"/>
      </w:r>
    </w:p>
    <w:p w14:paraId="14DFEE6C" w14:textId="77777777" w:rsidR="00E12FA8" w:rsidRPr="000C0BC9" w:rsidRDefault="00E12FA8" w:rsidP="00E12FA8">
      <w:pPr>
        <w:pStyle w:val="Heading1"/>
        <w:numPr>
          <w:ilvl w:val="0"/>
          <w:numId w:val="0"/>
        </w:numPr>
        <w:spacing w:before="240"/>
        <w:rPr>
          <w:color w:val="005782"/>
        </w:rPr>
      </w:pPr>
      <w:bookmarkStart w:id="2" w:name="_Toc130461779"/>
      <w:bookmarkStart w:id="3" w:name="_Toc201849530"/>
      <w:r w:rsidRPr="000C0BC9">
        <w:rPr>
          <w:color w:val="005782"/>
        </w:rPr>
        <w:lastRenderedPageBreak/>
        <w:t>Cover Sheet</w:t>
      </w:r>
      <w:bookmarkEnd w:id="2"/>
      <w:bookmarkEnd w:id="3"/>
    </w:p>
    <w:p w14:paraId="6DCA5BEE" w14:textId="199955ED" w:rsidR="00E12FA8" w:rsidRPr="00940BA4" w:rsidRDefault="00E12FA8" w:rsidP="00863E22">
      <w:pPr>
        <w:pStyle w:val="ListParagraph"/>
        <w:numPr>
          <w:ilvl w:val="0"/>
          <w:numId w:val="3"/>
        </w:numPr>
        <w:spacing w:before="240" w:after="240"/>
        <w:ind w:left="360"/>
        <w:jc w:val="both"/>
      </w:pPr>
      <w:r w:rsidRPr="00940BA4">
        <w:t xml:space="preserve">The current return version number is 1.0, as stated in </w:t>
      </w:r>
      <w:r w:rsidR="006D73FB">
        <w:t>[</w:t>
      </w:r>
      <w:r w:rsidRPr="006D73FB">
        <w:rPr>
          <w:highlight w:val="cyan"/>
        </w:rPr>
        <w:t xml:space="preserve">cell E3 of the </w:t>
      </w:r>
      <w:r w:rsidR="002C7CC8" w:rsidRPr="006D73FB">
        <w:rPr>
          <w:highlight w:val="cyan"/>
        </w:rPr>
        <w:t>C</w:t>
      </w:r>
      <w:r w:rsidRPr="006D73FB">
        <w:rPr>
          <w:highlight w:val="cyan"/>
        </w:rPr>
        <w:t xml:space="preserve">over </w:t>
      </w:r>
      <w:r w:rsidR="002C7CC8" w:rsidRPr="006D73FB">
        <w:rPr>
          <w:highlight w:val="cyan"/>
        </w:rPr>
        <w:t>S</w:t>
      </w:r>
      <w:r w:rsidRPr="006D73FB">
        <w:rPr>
          <w:highlight w:val="cyan"/>
        </w:rPr>
        <w:t>heet</w:t>
      </w:r>
      <w:r w:rsidR="006D73FB">
        <w:t>]</w:t>
      </w:r>
      <w:r w:rsidRPr="00940BA4">
        <w:t xml:space="preserve"> of the return template available on our website. This version must be used otherwise the return will be rejected.</w:t>
      </w:r>
    </w:p>
    <w:p w14:paraId="0735AA3B" w14:textId="77777777" w:rsidR="00E12FA8" w:rsidRPr="001A60C5" w:rsidRDefault="00E12FA8" w:rsidP="00863E22">
      <w:pPr>
        <w:pStyle w:val="ListParagraph"/>
        <w:spacing w:before="240" w:after="240"/>
        <w:ind w:left="360"/>
        <w:jc w:val="both"/>
        <w:rPr>
          <w:highlight w:val="yellow"/>
        </w:rPr>
      </w:pPr>
    </w:p>
    <w:p w14:paraId="30D05B26" w14:textId="1C116F26" w:rsidR="00E12FA8" w:rsidRPr="00940BA4" w:rsidRDefault="00E12FA8" w:rsidP="00863E22">
      <w:pPr>
        <w:pStyle w:val="ListParagraph"/>
        <w:numPr>
          <w:ilvl w:val="0"/>
          <w:numId w:val="3"/>
        </w:numPr>
        <w:spacing w:before="240" w:after="240"/>
        <w:ind w:left="360"/>
        <w:jc w:val="both"/>
      </w:pPr>
      <w:r w:rsidRPr="00940BA4">
        <w:t xml:space="preserve">Completion of the </w:t>
      </w:r>
      <w:r w:rsidR="002C7CC8" w:rsidRPr="00940BA4">
        <w:t>C</w:t>
      </w:r>
      <w:r w:rsidRPr="00940BA4">
        <w:t xml:space="preserve">over </w:t>
      </w:r>
      <w:r w:rsidR="002C7CC8" w:rsidRPr="00940BA4">
        <w:t>S</w:t>
      </w:r>
      <w:r w:rsidRPr="00940BA4">
        <w:t xml:space="preserve">heet spreadsheet is </w:t>
      </w:r>
      <w:proofErr w:type="gramStart"/>
      <w:r w:rsidRPr="00940BA4">
        <w:t>mandatory</w:t>
      </w:r>
      <w:proofErr w:type="gramEnd"/>
      <w:r w:rsidRPr="00940BA4">
        <w:t xml:space="preserve"> and the form sections should be completed as follows:</w:t>
      </w:r>
    </w:p>
    <w:p w14:paraId="44457FBF" w14:textId="77777777" w:rsidR="00E12FA8" w:rsidRPr="001A60C5" w:rsidRDefault="00E12FA8" w:rsidP="00863E22">
      <w:pPr>
        <w:pStyle w:val="ListParagraph"/>
        <w:spacing w:before="240" w:after="240"/>
        <w:ind w:left="360"/>
        <w:jc w:val="both"/>
        <w:rPr>
          <w:highlight w:val="yellow"/>
        </w:rPr>
      </w:pPr>
    </w:p>
    <w:p w14:paraId="39428C0B" w14:textId="77777777" w:rsidR="00E12FA8" w:rsidRPr="001A60C5" w:rsidRDefault="00E12FA8" w:rsidP="00863E22">
      <w:pPr>
        <w:pStyle w:val="ListParagraph"/>
        <w:keepNext/>
        <w:keepLines/>
        <w:numPr>
          <w:ilvl w:val="0"/>
          <w:numId w:val="1"/>
        </w:numPr>
        <w:spacing w:before="240" w:after="240"/>
        <w:contextualSpacing w:val="0"/>
        <w:jc w:val="both"/>
        <w:outlineLvl w:val="3"/>
        <w:rPr>
          <w:rFonts w:eastAsiaTheme="majorEastAsia" w:cstheme="majorBidi"/>
          <w:vanish/>
          <w:szCs w:val="24"/>
          <w:highlight w:val="yellow"/>
        </w:rPr>
      </w:pPr>
    </w:p>
    <w:p w14:paraId="49034AAD" w14:textId="77777777" w:rsidR="00E12FA8" w:rsidRPr="001A60C5" w:rsidRDefault="00E12FA8" w:rsidP="00863E22">
      <w:pPr>
        <w:pStyle w:val="ListParagraph"/>
        <w:keepNext/>
        <w:keepLines/>
        <w:numPr>
          <w:ilvl w:val="0"/>
          <w:numId w:val="1"/>
        </w:numPr>
        <w:spacing w:before="240" w:after="240"/>
        <w:contextualSpacing w:val="0"/>
        <w:jc w:val="both"/>
        <w:outlineLvl w:val="3"/>
        <w:rPr>
          <w:rFonts w:eastAsiaTheme="majorEastAsia" w:cstheme="majorBidi"/>
          <w:vanish/>
          <w:szCs w:val="24"/>
          <w:highlight w:val="yellow"/>
        </w:rPr>
      </w:pPr>
    </w:p>
    <w:p w14:paraId="1E54B008" w14:textId="77777777" w:rsidR="00E12FA8" w:rsidRPr="001A60C5" w:rsidRDefault="00E12FA8" w:rsidP="00863E22">
      <w:pPr>
        <w:pStyle w:val="ListParagraph"/>
        <w:keepNext/>
        <w:keepLines/>
        <w:numPr>
          <w:ilvl w:val="1"/>
          <w:numId w:val="1"/>
        </w:numPr>
        <w:spacing w:before="240" w:after="240"/>
        <w:contextualSpacing w:val="0"/>
        <w:jc w:val="both"/>
        <w:outlineLvl w:val="3"/>
        <w:rPr>
          <w:rFonts w:eastAsiaTheme="majorEastAsia" w:cstheme="majorBidi"/>
          <w:vanish/>
          <w:szCs w:val="24"/>
          <w:highlight w:val="yellow"/>
        </w:rPr>
      </w:pPr>
    </w:p>
    <w:p w14:paraId="31F1ECF0" w14:textId="77777777" w:rsidR="00E12FA8" w:rsidRPr="001A60C5" w:rsidRDefault="00E12FA8" w:rsidP="00863E22">
      <w:pPr>
        <w:pStyle w:val="ListParagraph"/>
        <w:keepNext/>
        <w:keepLines/>
        <w:numPr>
          <w:ilvl w:val="1"/>
          <w:numId w:val="1"/>
        </w:numPr>
        <w:spacing w:before="240" w:after="240"/>
        <w:contextualSpacing w:val="0"/>
        <w:jc w:val="both"/>
        <w:outlineLvl w:val="3"/>
        <w:rPr>
          <w:rFonts w:eastAsiaTheme="majorEastAsia" w:cstheme="majorBidi"/>
          <w:vanish/>
          <w:szCs w:val="24"/>
          <w:highlight w:val="yellow"/>
        </w:rPr>
      </w:pPr>
    </w:p>
    <w:p w14:paraId="291B7859" w14:textId="4DE0BA5A" w:rsidR="00E12FA8" w:rsidRPr="00863E22" w:rsidRDefault="00E12FA8" w:rsidP="00863E22">
      <w:pPr>
        <w:pStyle w:val="ListParagraph"/>
        <w:numPr>
          <w:ilvl w:val="1"/>
          <w:numId w:val="4"/>
        </w:numPr>
        <w:spacing w:before="240" w:after="240"/>
        <w:ind w:left="1134"/>
        <w:contextualSpacing w:val="0"/>
        <w:jc w:val="both"/>
      </w:pPr>
      <w:r w:rsidRPr="00863E22">
        <w:rPr>
          <w:b/>
        </w:rPr>
        <w:t>Firm Information</w:t>
      </w:r>
      <w:r w:rsidRPr="00863E22">
        <w:t>: Input the full registered name of the firm.  For this return</w:t>
      </w:r>
      <w:r w:rsidR="00BB5B5E">
        <w:t>-</w:t>
      </w:r>
      <w:r w:rsidRPr="00863E22">
        <w:t>type and name</w:t>
      </w:r>
      <w:r w:rsidR="00BB5B5E">
        <w:t>,</w:t>
      </w:r>
      <w:r w:rsidRPr="00863E22">
        <w:t xml:space="preserve"> the reporting period </w:t>
      </w:r>
      <w:r w:rsidR="00863E22" w:rsidRPr="00863E22">
        <w:t>should be input as the calendar quarter start and end dates in the format specified.</w:t>
      </w:r>
    </w:p>
    <w:p w14:paraId="1DE4BAE9" w14:textId="77777777" w:rsidR="00E12FA8" w:rsidRPr="00863E22" w:rsidRDefault="00E12FA8" w:rsidP="00863E22">
      <w:pPr>
        <w:pStyle w:val="ListParagraph"/>
        <w:numPr>
          <w:ilvl w:val="0"/>
          <w:numId w:val="4"/>
        </w:numPr>
        <w:spacing w:before="240" w:after="240"/>
        <w:ind w:left="1134"/>
        <w:contextualSpacing w:val="0"/>
        <w:jc w:val="both"/>
      </w:pPr>
      <w:r w:rsidRPr="00863E22">
        <w:rPr>
          <w:b/>
        </w:rPr>
        <w:t>Firm Declaration</w:t>
      </w:r>
      <w:r w:rsidRPr="00863E22">
        <w:t xml:space="preserve">: A Notified and Accepted role holder within the firm or an R17 Notified Only role holder must complete the Firm Declaration. The primary Controlled Function(s) held should be input in the “Position” field. [Please note that only one signatory is required for this return]. </w:t>
      </w:r>
    </w:p>
    <w:p w14:paraId="6AE3488B" w14:textId="77777777" w:rsidR="00E12FA8" w:rsidRPr="00863E22" w:rsidRDefault="00E12FA8" w:rsidP="00863E22">
      <w:pPr>
        <w:pStyle w:val="ListParagraph"/>
        <w:numPr>
          <w:ilvl w:val="0"/>
          <w:numId w:val="4"/>
        </w:numPr>
        <w:spacing w:before="240" w:after="240"/>
        <w:ind w:left="1134"/>
        <w:jc w:val="both"/>
      </w:pPr>
      <w:r w:rsidRPr="00863E22">
        <w:rPr>
          <w:b/>
        </w:rPr>
        <w:t>Comments:</w:t>
      </w:r>
      <w:r w:rsidRPr="00863E22">
        <w:t xml:space="preserve"> Additional information to explain the data submitted may be input to this non-mandatory free text field.  For example, you may explain any material variances or assumptions made.</w:t>
      </w:r>
    </w:p>
    <w:p w14:paraId="2C62FCC6" w14:textId="77777777" w:rsidR="00E12FA8" w:rsidRPr="00863E22" w:rsidRDefault="00E12FA8" w:rsidP="00863E22">
      <w:pPr>
        <w:pStyle w:val="ListParagraph"/>
        <w:spacing w:before="240" w:after="240"/>
        <w:ind w:left="1134"/>
        <w:jc w:val="both"/>
      </w:pPr>
    </w:p>
    <w:p w14:paraId="6C881091" w14:textId="5257DD07" w:rsidR="00863E22" w:rsidRDefault="00E12FA8" w:rsidP="00863E22">
      <w:pPr>
        <w:pStyle w:val="ListParagraph"/>
        <w:numPr>
          <w:ilvl w:val="0"/>
          <w:numId w:val="3"/>
        </w:numPr>
        <w:spacing w:before="240" w:after="240"/>
        <w:ind w:left="360"/>
        <w:jc w:val="both"/>
      </w:pPr>
      <w:r w:rsidRPr="00863E22">
        <w:t xml:space="preserve">Note: validation is embedded into the Cover Sheet; </w:t>
      </w:r>
      <w:r w:rsidR="006D73FB">
        <w:t>[</w:t>
      </w:r>
      <w:r w:rsidRPr="006D73FB">
        <w:rPr>
          <w:highlight w:val="cyan"/>
        </w:rPr>
        <w:t xml:space="preserve">if </w:t>
      </w:r>
      <w:r w:rsidR="00432402" w:rsidRPr="006D73FB">
        <w:rPr>
          <w:highlight w:val="cyan"/>
        </w:rPr>
        <w:t>c</w:t>
      </w:r>
      <w:r w:rsidRPr="006D73FB">
        <w:rPr>
          <w:highlight w:val="cyan"/>
        </w:rPr>
        <w:t>ell G2</w:t>
      </w:r>
      <w:r w:rsidR="006D73FB">
        <w:t>]</w:t>
      </w:r>
      <w:r w:rsidRPr="00863E22">
        <w:t xml:space="preserve"> shows an “Incomplete” error message this means either the </w:t>
      </w:r>
      <w:r w:rsidR="00432402" w:rsidRPr="00863E22">
        <w:t>C</w:t>
      </w:r>
      <w:r w:rsidRPr="00863E22">
        <w:t xml:space="preserve">over </w:t>
      </w:r>
      <w:r w:rsidR="00432402" w:rsidRPr="00863E22">
        <w:t>S</w:t>
      </w:r>
      <w:r w:rsidRPr="00863E22">
        <w:t xml:space="preserve">heet or content of the return is insufficiently completed. You can review column G to help determine the cause of the issue.  </w:t>
      </w:r>
      <w:r w:rsidR="006D73FB">
        <w:t>[</w:t>
      </w:r>
      <w:r w:rsidRPr="006D73FB">
        <w:rPr>
          <w:highlight w:val="cyan"/>
        </w:rPr>
        <w:t>Cell G2</w:t>
      </w:r>
      <w:r w:rsidR="006D73FB">
        <w:t>]</w:t>
      </w:r>
      <w:r w:rsidRPr="00863E22">
        <w:t xml:space="preserve"> must show as “complete</w:t>
      </w:r>
      <w:r w:rsidR="00863E22" w:rsidRPr="00863E22">
        <w:t xml:space="preserve">”, </w:t>
      </w:r>
      <w:r w:rsidRPr="00863E22">
        <w:t xml:space="preserve">or the return will be rejected by the data warehouse. </w:t>
      </w:r>
    </w:p>
    <w:p w14:paraId="59C1606C" w14:textId="03A3BC07" w:rsidR="00F939E8" w:rsidRPr="00863E22" w:rsidRDefault="00863E22" w:rsidP="00863E22">
      <w:r>
        <w:br w:type="page"/>
      </w:r>
    </w:p>
    <w:p w14:paraId="222E72D0" w14:textId="77777777" w:rsidR="007C3CE4" w:rsidRDefault="007C3CE4" w:rsidP="007C3CE4">
      <w:pPr>
        <w:pStyle w:val="Heading1"/>
        <w:numPr>
          <w:ilvl w:val="0"/>
          <w:numId w:val="0"/>
        </w:numPr>
        <w:rPr>
          <w:color w:val="005782"/>
        </w:rPr>
      </w:pPr>
      <w:bookmarkStart w:id="4" w:name="_Toc201849531"/>
      <w:r>
        <w:rPr>
          <w:color w:val="005782"/>
        </w:rPr>
        <w:lastRenderedPageBreak/>
        <w:t>Glossary of Terms</w:t>
      </w:r>
      <w:bookmarkEnd w:id="4"/>
    </w:p>
    <w:tbl>
      <w:tblPr>
        <w:tblStyle w:val="TableGrid"/>
        <w:tblW w:w="0" w:type="auto"/>
        <w:tblLayout w:type="fixed"/>
        <w:tblLook w:val="04A0" w:firstRow="1" w:lastRow="0" w:firstColumn="1" w:lastColumn="0" w:noHBand="0" w:noVBand="1"/>
      </w:tblPr>
      <w:tblGrid>
        <w:gridCol w:w="2263"/>
        <w:gridCol w:w="6753"/>
      </w:tblGrid>
      <w:tr w:rsidR="00C657C7" w14:paraId="192B6E8B" w14:textId="77777777" w:rsidTr="002C4153">
        <w:tc>
          <w:tcPr>
            <w:tcW w:w="2263" w:type="dxa"/>
          </w:tcPr>
          <w:p w14:paraId="4AF1AD6C" w14:textId="31824898" w:rsidR="00C657C7" w:rsidRPr="00111AC6" w:rsidRDefault="00C657C7" w:rsidP="00E76ABD">
            <w:pPr>
              <w:contextualSpacing/>
              <w:rPr>
                <w:rFonts w:ascii="Calibri" w:hAnsi="Calibri" w:cs="Calibri"/>
                <w:b/>
                <w:bCs/>
                <w:szCs w:val="24"/>
              </w:rPr>
            </w:pPr>
            <w:r>
              <w:rPr>
                <w:rFonts w:ascii="Calibri" w:hAnsi="Calibri" w:cs="Calibri"/>
                <w:b/>
                <w:bCs/>
                <w:szCs w:val="24"/>
              </w:rPr>
              <w:t>Amount (carrying value)</w:t>
            </w:r>
          </w:p>
        </w:tc>
        <w:tc>
          <w:tcPr>
            <w:tcW w:w="6753" w:type="dxa"/>
          </w:tcPr>
          <w:p w14:paraId="3ED1618E" w14:textId="3B4F1E9B" w:rsidR="00C657C7" w:rsidRDefault="00C657C7" w:rsidP="00C657C7">
            <w:pPr>
              <w:contextualSpacing/>
              <w:jc w:val="both"/>
              <w:rPr>
                <w:szCs w:val="24"/>
              </w:rPr>
            </w:pPr>
            <w:r w:rsidRPr="00CA6546">
              <w:rPr>
                <w:szCs w:val="24"/>
              </w:rPr>
              <w:t>In the context of the Available Stable Funding</w:t>
            </w:r>
            <w:r>
              <w:rPr>
                <w:szCs w:val="24"/>
              </w:rPr>
              <w:t xml:space="preserve">, the “amount”, or “carrying value”, </w:t>
            </w:r>
            <w:r w:rsidRPr="00F65BF7">
              <w:rPr>
                <w:szCs w:val="24"/>
              </w:rPr>
              <w:t>represents the amount at which a liability or equity instrument is recorded before the application of any regulatory deductions, filters or other adjustments</w:t>
            </w:r>
            <w:r>
              <w:rPr>
                <w:szCs w:val="24"/>
              </w:rPr>
              <w:t xml:space="preserve"> and is the amount prior to the application of any ASF factors</w:t>
            </w:r>
            <w:r w:rsidRPr="00F65BF7">
              <w:rPr>
                <w:szCs w:val="24"/>
              </w:rPr>
              <w:t>.</w:t>
            </w:r>
          </w:p>
          <w:p w14:paraId="019848C6" w14:textId="77777777" w:rsidR="00C657C7" w:rsidRDefault="00C657C7" w:rsidP="00C657C7">
            <w:pPr>
              <w:contextualSpacing/>
              <w:rPr>
                <w:szCs w:val="24"/>
              </w:rPr>
            </w:pPr>
          </w:p>
          <w:p w14:paraId="3496D30D" w14:textId="538E74C6" w:rsidR="002859F3" w:rsidRPr="00C657C7" w:rsidRDefault="00C657C7" w:rsidP="001B44E2">
            <w:pPr>
              <w:spacing w:after="240"/>
              <w:contextualSpacing/>
              <w:jc w:val="both"/>
              <w:rPr>
                <w:szCs w:val="24"/>
              </w:rPr>
            </w:pPr>
            <w:r>
              <w:rPr>
                <w:szCs w:val="24"/>
              </w:rPr>
              <w:t xml:space="preserve">In the context of the Required Stable Funding, </w:t>
            </w:r>
            <w:r w:rsidR="002746C7">
              <w:rPr>
                <w:szCs w:val="24"/>
              </w:rPr>
              <w:t xml:space="preserve">the “amount”, or </w:t>
            </w:r>
            <w:r>
              <w:rPr>
                <w:szCs w:val="24"/>
              </w:rPr>
              <w:t>“carrying value”</w:t>
            </w:r>
            <w:r w:rsidR="002746C7">
              <w:rPr>
                <w:szCs w:val="24"/>
              </w:rPr>
              <w:t>,</w:t>
            </w:r>
            <w:r>
              <w:rPr>
                <w:szCs w:val="24"/>
              </w:rPr>
              <w:t xml:space="preserve"> </w:t>
            </w:r>
            <w:r w:rsidRPr="00CA6546">
              <w:rPr>
                <w:szCs w:val="24"/>
              </w:rPr>
              <w:t>of an asset item should generally be recorded by following its accounting value, i</w:t>
            </w:r>
            <w:r>
              <w:rPr>
                <w:szCs w:val="24"/>
              </w:rPr>
              <w:t>.</w:t>
            </w:r>
            <w:r w:rsidRPr="00CA6546">
              <w:rPr>
                <w:szCs w:val="24"/>
              </w:rPr>
              <w:t>e</w:t>
            </w:r>
            <w:r>
              <w:rPr>
                <w:szCs w:val="24"/>
              </w:rPr>
              <w:t>.</w:t>
            </w:r>
            <w:r w:rsidRPr="00CA6546">
              <w:rPr>
                <w:szCs w:val="24"/>
              </w:rPr>
              <w:t xml:space="preserve"> net of specif</w:t>
            </w:r>
            <w:r>
              <w:rPr>
                <w:szCs w:val="24"/>
              </w:rPr>
              <w:t>i</w:t>
            </w:r>
            <w:r w:rsidRPr="00CA6546">
              <w:rPr>
                <w:szCs w:val="24"/>
              </w:rPr>
              <w:t>c provisions</w:t>
            </w:r>
            <w:r w:rsidRPr="001B44E2">
              <w:rPr>
                <w:szCs w:val="24"/>
              </w:rPr>
              <w:t xml:space="preserve">, </w:t>
            </w:r>
            <w:r w:rsidR="001B44E2" w:rsidRPr="001B44E2">
              <w:rPr>
                <w:szCs w:val="24"/>
              </w:rPr>
              <w:t xml:space="preserve">and </w:t>
            </w:r>
            <w:r w:rsidRPr="001B44E2">
              <w:rPr>
                <w:szCs w:val="24"/>
              </w:rPr>
              <w:t>the requirements for on-balance sheet, non-derivative assets. It is the amount prior to the application of any RSF factors.</w:t>
            </w:r>
            <w:r>
              <w:rPr>
                <w:szCs w:val="24"/>
              </w:rPr>
              <w:t xml:space="preserve"> </w:t>
            </w:r>
          </w:p>
        </w:tc>
      </w:tr>
      <w:tr w:rsidR="00EC0C92" w14:paraId="21027FF0" w14:textId="77777777" w:rsidTr="002C4153">
        <w:tc>
          <w:tcPr>
            <w:tcW w:w="2263" w:type="dxa"/>
          </w:tcPr>
          <w:p w14:paraId="08799EDE" w14:textId="272091E0" w:rsidR="00EC0C92" w:rsidRPr="00111AC6" w:rsidRDefault="00034526" w:rsidP="00E76ABD">
            <w:pPr>
              <w:contextualSpacing/>
              <w:rPr>
                <w:rFonts w:ascii="Calibri" w:hAnsi="Calibri" w:cs="Calibri"/>
                <w:b/>
                <w:bCs/>
                <w:szCs w:val="24"/>
              </w:rPr>
            </w:pPr>
            <w:r>
              <w:rPr>
                <w:rFonts w:ascii="Calibri" w:hAnsi="Calibri" w:cs="Calibri"/>
                <w:b/>
                <w:bCs/>
                <w:szCs w:val="24"/>
              </w:rPr>
              <w:t>(</w:t>
            </w:r>
            <w:r w:rsidR="002C4153" w:rsidRPr="00111AC6">
              <w:rPr>
                <w:rFonts w:ascii="Calibri" w:hAnsi="Calibri" w:cs="Calibri"/>
                <w:b/>
                <w:bCs/>
                <w:szCs w:val="24"/>
              </w:rPr>
              <w:t>The</w:t>
            </w:r>
            <w:r>
              <w:rPr>
                <w:rFonts w:ascii="Calibri" w:hAnsi="Calibri" w:cs="Calibri"/>
                <w:b/>
                <w:bCs/>
                <w:szCs w:val="24"/>
              </w:rPr>
              <w:t>)</w:t>
            </w:r>
            <w:r w:rsidR="002C4153" w:rsidRPr="00111AC6">
              <w:rPr>
                <w:rFonts w:ascii="Calibri" w:hAnsi="Calibri" w:cs="Calibri"/>
                <w:b/>
                <w:bCs/>
                <w:szCs w:val="24"/>
              </w:rPr>
              <w:t xml:space="preserve"> Authority</w:t>
            </w:r>
          </w:p>
        </w:tc>
        <w:tc>
          <w:tcPr>
            <w:tcW w:w="6753" w:type="dxa"/>
          </w:tcPr>
          <w:p w14:paraId="3CD06013" w14:textId="1B22AA4C" w:rsidR="002859F3" w:rsidRDefault="002C4153" w:rsidP="00E76ABD">
            <w:pPr>
              <w:contextualSpacing/>
              <w:jc w:val="both"/>
              <w:rPr>
                <w:rFonts w:ascii="Calibri" w:hAnsi="Calibri" w:cs="Calibri"/>
                <w:szCs w:val="24"/>
              </w:rPr>
            </w:pPr>
            <w:r>
              <w:rPr>
                <w:rFonts w:ascii="Calibri" w:hAnsi="Calibri" w:cs="Calibri"/>
                <w:szCs w:val="24"/>
              </w:rPr>
              <w:t>The Isle of Man Financial Services Authority</w:t>
            </w:r>
            <w:r w:rsidR="002859F3">
              <w:rPr>
                <w:rFonts w:ascii="Calibri" w:hAnsi="Calibri" w:cs="Calibri"/>
                <w:szCs w:val="24"/>
              </w:rPr>
              <w:t>.</w:t>
            </w:r>
          </w:p>
        </w:tc>
      </w:tr>
      <w:tr w:rsidR="00CC534F" w14:paraId="7983E9D0" w14:textId="77777777" w:rsidTr="002C4153">
        <w:tc>
          <w:tcPr>
            <w:tcW w:w="2263" w:type="dxa"/>
          </w:tcPr>
          <w:p w14:paraId="2626E15E" w14:textId="213264EA" w:rsidR="00CC534F" w:rsidRPr="00111AC6" w:rsidRDefault="00CC534F" w:rsidP="001B44E2">
            <w:pPr>
              <w:spacing w:after="240"/>
              <w:contextualSpacing/>
              <w:rPr>
                <w:rFonts w:ascii="Calibri" w:hAnsi="Calibri" w:cs="Calibri"/>
                <w:b/>
                <w:bCs/>
                <w:szCs w:val="24"/>
              </w:rPr>
            </w:pPr>
            <w:r>
              <w:rPr>
                <w:rFonts w:ascii="Calibri" w:hAnsi="Calibri" w:cs="Calibri"/>
                <w:b/>
                <w:bCs/>
                <w:szCs w:val="24"/>
              </w:rPr>
              <w:t>Available Stable Funding (ASF)</w:t>
            </w:r>
          </w:p>
        </w:tc>
        <w:tc>
          <w:tcPr>
            <w:tcW w:w="6753" w:type="dxa"/>
          </w:tcPr>
          <w:p w14:paraId="3CA0A26C" w14:textId="1BEBDB56" w:rsidR="002859F3" w:rsidRPr="00EF6C58" w:rsidRDefault="00EF6C58" w:rsidP="001B44E2">
            <w:pPr>
              <w:spacing w:after="240"/>
              <w:contextualSpacing/>
              <w:jc w:val="both"/>
              <w:rPr>
                <w:szCs w:val="24"/>
              </w:rPr>
            </w:pPr>
            <w:r>
              <w:rPr>
                <w:szCs w:val="24"/>
              </w:rPr>
              <w:t>T</w:t>
            </w:r>
            <w:r w:rsidRPr="005036A8">
              <w:rPr>
                <w:szCs w:val="24"/>
              </w:rPr>
              <w:t>he portion of capital and liabilities expected to be</w:t>
            </w:r>
            <w:r>
              <w:rPr>
                <w:szCs w:val="24"/>
              </w:rPr>
              <w:t xml:space="preserve"> </w:t>
            </w:r>
            <w:r w:rsidRPr="005036A8">
              <w:rPr>
                <w:szCs w:val="24"/>
              </w:rPr>
              <w:t>reliable over the one-year time horizon considered by the NSFR.</w:t>
            </w:r>
            <w:r w:rsidRPr="00D10460">
              <w:rPr>
                <w:szCs w:val="24"/>
                <w:highlight w:val="yellow"/>
              </w:rPr>
              <w:t xml:space="preserve"> </w:t>
            </w:r>
          </w:p>
        </w:tc>
      </w:tr>
      <w:tr w:rsidR="00034526" w14:paraId="4B314729" w14:textId="77777777" w:rsidTr="002C4153">
        <w:tc>
          <w:tcPr>
            <w:tcW w:w="2263" w:type="dxa"/>
          </w:tcPr>
          <w:p w14:paraId="60740603" w14:textId="77777777" w:rsidR="00034526" w:rsidRPr="00111AC6" w:rsidRDefault="00034526" w:rsidP="00034526">
            <w:pPr>
              <w:contextualSpacing/>
              <w:rPr>
                <w:rFonts w:ascii="Calibri" w:hAnsi="Calibri" w:cs="Calibri"/>
                <w:b/>
                <w:bCs/>
                <w:szCs w:val="24"/>
              </w:rPr>
            </w:pPr>
            <w:r w:rsidRPr="00111AC6">
              <w:rPr>
                <w:rFonts w:ascii="Calibri" w:hAnsi="Calibri" w:cs="Calibri"/>
                <w:b/>
                <w:bCs/>
                <w:szCs w:val="24"/>
              </w:rPr>
              <w:t>Bank / reporting bank</w:t>
            </w:r>
          </w:p>
          <w:p w14:paraId="3ADB96A5" w14:textId="77777777" w:rsidR="00034526" w:rsidRDefault="00034526" w:rsidP="00034526">
            <w:pPr>
              <w:spacing w:after="240"/>
              <w:contextualSpacing/>
              <w:rPr>
                <w:rFonts w:ascii="Calibri" w:hAnsi="Calibri" w:cs="Calibri"/>
                <w:b/>
                <w:bCs/>
                <w:szCs w:val="24"/>
              </w:rPr>
            </w:pPr>
          </w:p>
        </w:tc>
        <w:tc>
          <w:tcPr>
            <w:tcW w:w="6753" w:type="dxa"/>
          </w:tcPr>
          <w:p w14:paraId="152F1B26" w14:textId="424A2EC9" w:rsidR="002859F3" w:rsidRPr="002859F3" w:rsidRDefault="00034526" w:rsidP="00034526">
            <w:pPr>
              <w:spacing w:after="240"/>
              <w:contextualSpacing/>
              <w:jc w:val="both"/>
              <w:rPr>
                <w:rFonts w:ascii="Calibri" w:hAnsi="Calibri" w:cs="Calibri"/>
                <w:szCs w:val="24"/>
              </w:rPr>
            </w:pPr>
            <w:r>
              <w:rPr>
                <w:rFonts w:ascii="Calibri" w:hAnsi="Calibri" w:cs="Calibri"/>
                <w:szCs w:val="24"/>
              </w:rPr>
              <w:t>I</w:t>
            </w:r>
            <w:r w:rsidRPr="00740E48">
              <w:rPr>
                <w:rFonts w:ascii="Calibri" w:hAnsi="Calibri" w:cs="Calibri"/>
                <w:szCs w:val="24"/>
              </w:rPr>
              <w:t>n th</w:t>
            </w:r>
            <w:r>
              <w:rPr>
                <w:rFonts w:ascii="Calibri" w:hAnsi="Calibri" w:cs="Calibri"/>
                <w:szCs w:val="24"/>
              </w:rPr>
              <w:t>e</w:t>
            </w:r>
            <w:r w:rsidRPr="00740E48">
              <w:rPr>
                <w:rFonts w:ascii="Calibri" w:hAnsi="Calibri" w:cs="Calibri"/>
                <w:szCs w:val="24"/>
              </w:rPr>
              <w:t xml:space="preserve"> context</w:t>
            </w:r>
            <w:r>
              <w:rPr>
                <w:rFonts w:ascii="Calibri" w:hAnsi="Calibri" w:cs="Calibri"/>
                <w:szCs w:val="24"/>
              </w:rPr>
              <w:t xml:space="preserve"> of the NSFR Reporting Form t</w:t>
            </w:r>
            <w:r w:rsidRPr="00740E48">
              <w:rPr>
                <w:rFonts w:ascii="Calibri" w:hAnsi="Calibri" w:cs="Calibri"/>
                <w:szCs w:val="24"/>
              </w:rPr>
              <w:t xml:space="preserve">his is the </w:t>
            </w:r>
            <w:r>
              <w:rPr>
                <w:rFonts w:ascii="Calibri" w:hAnsi="Calibri" w:cs="Calibri"/>
                <w:szCs w:val="24"/>
              </w:rPr>
              <w:t xml:space="preserve">Isle of Man incorporated </w:t>
            </w:r>
            <w:r w:rsidRPr="00740E48">
              <w:rPr>
                <w:rFonts w:ascii="Calibri" w:hAnsi="Calibri" w:cs="Calibri"/>
                <w:szCs w:val="24"/>
              </w:rPr>
              <w:t xml:space="preserve">entity that has been issued with a </w:t>
            </w:r>
            <w:r>
              <w:rPr>
                <w:rFonts w:ascii="Calibri" w:hAnsi="Calibri" w:cs="Calibri"/>
                <w:szCs w:val="24"/>
              </w:rPr>
              <w:t>C</w:t>
            </w:r>
            <w:r w:rsidRPr="00740E48">
              <w:rPr>
                <w:rFonts w:ascii="Calibri" w:hAnsi="Calibri" w:cs="Calibri"/>
                <w:szCs w:val="24"/>
              </w:rPr>
              <w:t xml:space="preserve">lass 1(1) or </w:t>
            </w:r>
            <w:r>
              <w:rPr>
                <w:rFonts w:ascii="Calibri" w:hAnsi="Calibri" w:cs="Calibri"/>
                <w:szCs w:val="24"/>
              </w:rPr>
              <w:t>C</w:t>
            </w:r>
            <w:r w:rsidRPr="00740E48">
              <w:rPr>
                <w:rFonts w:ascii="Calibri" w:hAnsi="Calibri" w:cs="Calibri"/>
                <w:szCs w:val="24"/>
              </w:rPr>
              <w:t xml:space="preserve">lass 1(2) </w:t>
            </w:r>
            <w:r>
              <w:rPr>
                <w:rFonts w:ascii="Calibri" w:hAnsi="Calibri" w:cs="Calibri"/>
                <w:szCs w:val="24"/>
              </w:rPr>
              <w:t xml:space="preserve">(Deposit Taking) </w:t>
            </w:r>
            <w:r w:rsidRPr="00740E48">
              <w:rPr>
                <w:rFonts w:ascii="Calibri" w:hAnsi="Calibri" w:cs="Calibri"/>
                <w:szCs w:val="24"/>
              </w:rPr>
              <w:t>licence under the Financial Services Act 2008</w:t>
            </w:r>
            <w:r>
              <w:rPr>
                <w:rFonts w:ascii="Calibri" w:hAnsi="Calibri" w:cs="Calibri"/>
                <w:szCs w:val="24"/>
              </w:rPr>
              <w:t xml:space="preserve"> and includes branches of that entity</w:t>
            </w:r>
            <w:r w:rsidRPr="00740E48">
              <w:rPr>
                <w:rFonts w:ascii="Calibri" w:hAnsi="Calibri" w:cs="Calibri"/>
                <w:szCs w:val="24"/>
              </w:rPr>
              <w:t>.</w:t>
            </w:r>
          </w:p>
        </w:tc>
      </w:tr>
      <w:tr w:rsidR="00EC0C92" w14:paraId="1CA5E692" w14:textId="77777777" w:rsidTr="002C4153">
        <w:tc>
          <w:tcPr>
            <w:tcW w:w="2263" w:type="dxa"/>
          </w:tcPr>
          <w:p w14:paraId="77F2D527" w14:textId="418133A9" w:rsidR="00EC0C92" w:rsidRPr="00111AC6" w:rsidRDefault="002C4153" w:rsidP="00E76ABD">
            <w:pPr>
              <w:contextualSpacing/>
              <w:rPr>
                <w:rFonts w:ascii="Calibri" w:hAnsi="Calibri" w:cs="Calibri"/>
                <w:b/>
                <w:bCs/>
                <w:szCs w:val="24"/>
              </w:rPr>
            </w:pPr>
            <w:r w:rsidRPr="00111AC6">
              <w:rPr>
                <w:rFonts w:ascii="Calibri" w:hAnsi="Calibri" w:cs="Calibri"/>
                <w:b/>
                <w:bCs/>
                <w:szCs w:val="24"/>
              </w:rPr>
              <w:t>Basel Committee on Banking Supervision (BCBS)</w:t>
            </w:r>
          </w:p>
        </w:tc>
        <w:tc>
          <w:tcPr>
            <w:tcW w:w="6753" w:type="dxa"/>
          </w:tcPr>
          <w:p w14:paraId="39E8377F" w14:textId="32F1A5DE" w:rsidR="002859F3" w:rsidRDefault="002C4153" w:rsidP="00E76ABD">
            <w:pPr>
              <w:contextualSpacing/>
              <w:jc w:val="both"/>
              <w:rPr>
                <w:rFonts w:ascii="Calibri" w:hAnsi="Calibri" w:cs="Calibri"/>
                <w:szCs w:val="24"/>
              </w:rPr>
            </w:pPr>
            <w:r>
              <w:rPr>
                <w:rFonts w:ascii="Calibri" w:hAnsi="Calibri" w:cs="Calibri"/>
                <w:szCs w:val="24"/>
              </w:rPr>
              <w:t>T</w:t>
            </w:r>
            <w:r w:rsidRPr="00AB081A">
              <w:rPr>
                <w:rFonts w:ascii="Calibri" w:hAnsi="Calibri" w:cs="Calibri"/>
                <w:szCs w:val="24"/>
              </w:rPr>
              <w:t xml:space="preserve">he primary global standard setter for the prudential regulation of banks </w:t>
            </w:r>
            <w:r w:rsidR="002216DE">
              <w:rPr>
                <w:rFonts w:ascii="Calibri" w:hAnsi="Calibri" w:cs="Calibri"/>
                <w:szCs w:val="24"/>
              </w:rPr>
              <w:t>which</w:t>
            </w:r>
            <w:r w:rsidRPr="00AB081A">
              <w:rPr>
                <w:rFonts w:ascii="Calibri" w:hAnsi="Calibri" w:cs="Calibri"/>
                <w:szCs w:val="24"/>
              </w:rPr>
              <w:t xml:space="preserve"> provides a forum for regular cooperation on banking supervisory matters.</w:t>
            </w:r>
          </w:p>
        </w:tc>
      </w:tr>
      <w:tr w:rsidR="00EC0C92" w14:paraId="26A99A7D" w14:textId="77777777" w:rsidTr="002C4153">
        <w:tc>
          <w:tcPr>
            <w:tcW w:w="2263" w:type="dxa"/>
          </w:tcPr>
          <w:p w14:paraId="12453D0C" w14:textId="77777777" w:rsidR="002C4153" w:rsidRPr="00111AC6" w:rsidRDefault="002C4153" w:rsidP="002C4153">
            <w:pPr>
              <w:contextualSpacing/>
              <w:rPr>
                <w:rFonts w:ascii="Calibri" w:hAnsi="Calibri" w:cs="Calibri"/>
                <w:b/>
                <w:bCs/>
                <w:sz w:val="28"/>
                <w:szCs w:val="28"/>
              </w:rPr>
            </w:pPr>
            <w:r w:rsidRPr="00111AC6">
              <w:rPr>
                <w:rFonts w:ascii="Calibri" w:hAnsi="Calibri" w:cs="Calibri"/>
                <w:b/>
                <w:bCs/>
                <w:szCs w:val="24"/>
              </w:rPr>
              <w:t>Financial</w:t>
            </w:r>
            <w:r w:rsidRPr="00111AC6">
              <w:rPr>
                <w:rFonts w:ascii="Calibri" w:hAnsi="Calibri" w:cs="Calibri"/>
                <w:b/>
                <w:bCs/>
                <w:sz w:val="28"/>
                <w:szCs w:val="28"/>
              </w:rPr>
              <w:t xml:space="preserve"> </w:t>
            </w:r>
            <w:r w:rsidRPr="00111AC6">
              <w:rPr>
                <w:rFonts w:ascii="Calibri" w:hAnsi="Calibri" w:cs="Calibri"/>
                <w:b/>
                <w:bCs/>
                <w:szCs w:val="24"/>
              </w:rPr>
              <w:t>Institutions</w:t>
            </w:r>
          </w:p>
          <w:p w14:paraId="1BDD112F" w14:textId="77777777" w:rsidR="00EC0C92" w:rsidRPr="00111AC6" w:rsidRDefault="00EC0C92" w:rsidP="00374149">
            <w:pPr>
              <w:contextualSpacing/>
              <w:rPr>
                <w:rFonts w:ascii="Calibri" w:hAnsi="Calibri" w:cs="Calibri"/>
                <w:b/>
                <w:bCs/>
                <w:szCs w:val="24"/>
              </w:rPr>
            </w:pPr>
          </w:p>
        </w:tc>
        <w:tc>
          <w:tcPr>
            <w:tcW w:w="6753" w:type="dxa"/>
          </w:tcPr>
          <w:p w14:paraId="0AE8F91E" w14:textId="7B750F1C" w:rsidR="002859F3" w:rsidRDefault="00BF714F" w:rsidP="00E76ABD">
            <w:pPr>
              <w:contextualSpacing/>
              <w:jc w:val="both"/>
              <w:rPr>
                <w:rFonts w:ascii="Calibri" w:hAnsi="Calibri" w:cs="Calibri"/>
                <w:szCs w:val="24"/>
              </w:rPr>
            </w:pPr>
            <w:r>
              <w:rPr>
                <w:rFonts w:ascii="Calibri" w:hAnsi="Calibri" w:cs="Calibri"/>
                <w:szCs w:val="24"/>
              </w:rPr>
              <w:t>For example, r</w:t>
            </w:r>
            <w:r w:rsidR="002C4153">
              <w:rPr>
                <w:rFonts w:ascii="Calibri" w:hAnsi="Calibri" w:cs="Calibri"/>
                <w:szCs w:val="24"/>
              </w:rPr>
              <w:t>egulated entities l</w:t>
            </w:r>
            <w:r w:rsidR="002C4153" w:rsidRPr="00627D22">
              <w:rPr>
                <w:rFonts w:ascii="Calibri" w:hAnsi="Calibri" w:cs="Calibri"/>
                <w:szCs w:val="24"/>
              </w:rPr>
              <w:t>icen</w:t>
            </w:r>
            <w:r w:rsidR="002C4153">
              <w:rPr>
                <w:rFonts w:ascii="Calibri" w:hAnsi="Calibri" w:cs="Calibri"/>
                <w:szCs w:val="24"/>
              </w:rPr>
              <w:t>s</w:t>
            </w:r>
            <w:r w:rsidR="002C4153" w:rsidRPr="00627D22">
              <w:rPr>
                <w:rFonts w:ascii="Calibri" w:hAnsi="Calibri" w:cs="Calibri"/>
                <w:szCs w:val="24"/>
              </w:rPr>
              <w:t>ed</w:t>
            </w:r>
            <w:r w:rsidR="002C4153">
              <w:rPr>
                <w:rFonts w:ascii="Calibri" w:hAnsi="Calibri" w:cs="Calibri"/>
                <w:szCs w:val="24"/>
              </w:rPr>
              <w:t xml:space="preserve"> under the Financial Services Act 2008, authorised under the Insurance Act 2008 or </w:t>
            </w:r>
            <w:r w:rsidR="002C4153" w:rsidRPr="00627D22">
              <w:rPr>
                <w:rFonts w:ascii="Calibri" w:hAnsi="Calibri" w:cs="Calibri"/>
                <w:szCs w:val="24"/>
              </w:rPr>
              <w:t>reg</w:t>
            </w:r>
            <w:r w:rsidR="002C4153">
              <w:rPr>
                <w:rFonts w:ascii="Calibri" w:hAnsi="Calibri" w:cs="Calibri"/>
                <w:szCs w:val="24"/>
              </w:rPr>
              <w:t xml:space="preserve">istered under the Insurance Act 2008 or the Retirement Benefits Schemes Act 2000 </w:t>
            </w:r>
            <w:r w:rsidR="002C4153" w:rsidRPr="00627D22">
              <w:rPr>
                <w:rFonts w:ascii="Calibri" w:hAnsi="Calibri" w:cs="Calibri"/>
                <w:szCs w:val="24"/>
              </w:rPr>
              <w:t>or</w:t>
            </w:r>
            <w:r w:rsidR="002C4153">
              <w:rPr>
                <w:rFonts w:ascii="Calibri" w:hAnsi="Calibri" w:cs="Calibri"/>
                <w:szCs w:val="24"/>
              </w:rPr>
              <w:t xml:space="preserve"> p</w:t>
            </w:r>
            <w:r w:rsidR="002C4153" w:rsidRPr="00627D22">
              <w:rPr>
                <w:rFonts w:ascii="Calibri" w:hAnsi="Calibri" w:cs="Calibri"/>
                <w:szCs w:val="24"/>
              </w:rPr>
              <w:t xml:space="preserve">ersons undertaking </w:t>
            </w:r>
            <w:r w:rsidR="002C4153">
              <w:rPr>
                <w:rFonts w:ascii="Calibri" w:hAnsi="Calibri" w:cs="Calibri"/>
                <w:szCs w:val="24"/>
              </w:rPr>
              <w:t xml:space="preserve">equivalent </w:t>
            </w:r>
            <w:r w:rsidR="002C4153" w:rsidRPr="00627D22">
              <w:rPr>
                <w:rFonts w:ascii="Calibri" w:hAnsi="Calibri" w:cs="Calibri"/>
                <w:szCs w:val="24"/>
              </w:rPr>
              <w:t xml:space="preserve">activities </w:t>
            </w:r>
            <w:r w:rsidR="002C4153">
              <w:rPr>
                <w:rFonts w:ascii="Calibri" w:hAnsi="Calibri" w:cs="Calibri"/>
                <w:szCs w:val="24"/>
              </w:rPr>
              <w:t>outside the Isle of Man subject to prudential regulation by the Authority or</w:t>
            </w:r>
            <w:r w:rsidR="002C4153" w:rsidRPr="00627D22">
              <w:rPr>
                <w:rFonts w:ascii="Calibri" w:hAnsi="Calibri" w:cs="Calibri"/>
                <w:szCs w:val="24"/>
              </w:rPr>
              <w:t xml:space="preserve"> by a</w:t>
            </w:r>
            <w:r w:rsidR="002C4153">
              <w:rPr>
                <w:rFonts w:ascii="Calibri" w:hAnsi="Calibri" w:cs="Calibri"/>
                <w:szCs w:val="24"/>
              </w:rPr>
              <w:t xml:space="preserve"> body</w:t>
            </w:r>
            <w:r w:rsidR="002C4153" w:rsidRPr="00627D22">
              <w:rPr>
                <w:rFonts w:ascii="Calibri" w:hAnsi="Calibri" w:cs="Calibri"/>
                <w:szCs w:val="24"/>
              </w:rPr>
              <w:t xml:space="preserve"> exercising functions corresponding to any of those of the </w:t>
            </w:r>
            <w:r w:rsidR="002C4153">
              <w:rPr>
                <w:rFonts w:ascii="Calibri" w:hAnsi="Calibri" w:cs="Calibri"/>
                <w:szCs w:val="24"/>
              </w:rPr>
              <w:t>Authority</w:t>
            </w:r>
            <w:r w:rsidR="002C4153" w:rsidRPr="00627D22">
              <w:rPr>
                <w:rFonts w:ascii="Calibri" w:hAnsi="Calibri" w:cs="Calibri"/>
                <w:szCs w:val="24"/>
              </w:rPr>
              <w:t>.</w:t>
            </w:r>
          </w:p>
        </w:tc>
      </w:tr>
      <w:tr w:rsidR="00327529" w14:paraId="53964CE1" w14:textId="77777777" w:rsidTr="002C4153">
        <w:tc>
          <w:tcPr>
            <w:tcW w:w="2263" w:type="dxa"/>
          </w:tcPr>
          <w:p w14:paraId="3E74FA19" w14:textId="7D78D123" w:rsidR="00327529" w:rsidRPr="00111AC6" w:rsidRDefault="00327529" w:rsidP="002C4153">
            <w:pPr>
              <w:contextualSpacing/>
              <w:rPr>
                <w:rFonts w:ascii="Calibri" w:hAnsi="Calibri" w:cs="Calibri"/>
                <w:b/>
                <w:bCs/>
                <w:szCs w:val="24"/>
              </w:rPr>
            </w:pPr>
            <w:r>
              <w:rPr>
                <w:rFonts w:ascii="Calibri" w:hAnsi="Calibri" w:cs="Calibri"/>
                <w:b/>
                <w:bCs/>
                <w:szCs w:val="24"/>
              </w:rPr>
              <w:t>Liquidity Coverage Ratio (LCR)</w:t>
            </w:r>
          </w:p>
        </w:tc>
        <w:tc>
          <w:tcPr>
            <w:tcW w:w="6753" w:type="dxa"/>
          </w:tcPr>
          <w:p w14:paraId="28AB6D8C" w14:textId="54D1A0BA" w:rsidR="002859F3" w:rsidRPr="00FD4812" w:rsidRDefault="00F17D09" w:rsidP="00E76ABD">
            <w:pPr>
              <w:contextualSpacing/>
              <w:jc w:val="both"/>
              <w:rPr>
                <w:rFonts w:ascii="Calibri" w:hAnsi="Calibri" w:cs="Calibri"/>
                <w:szCs w:val="24"/>
              </w:rPr>
            </w:pPr>
            <w:r>
              <w:rPr>
                <w:rFonts w:ascii="Calibri" w:hAnsi="Calibri" w:cs="Calibri"/>
                <w:szCs w:val="24"/>
              </w:rPr>
              <w:t xml:space="preserve">A measure of liquidity over a </w:t>
            </w:r>
            <w:r w:rsidR="00CD73A2">
              <w:rPr>
                <w:rFonts w:ascii="Calibri" w:hAnsi="Calibri" w:cs="Calibri"/>
                <w:szCs w:val="24"/>
              </w:rPr>
              <w:t>30-calendar</w:t>
            </w:r>
            <w:r>
              <w:rPr>
                <w:rFonts w:ascii="Calibri" w:hAnsi="Calibri" w:cs="Calibri"/>
                <w:szCs w:val="24"/>
              </w:rPr>
              <w:t xml:space="preserve"> day liquidity stress scenario.</w:t>
            </w:r>
            <w:r w:rsidR="00AB311A">
              <w:rPr>
                <w:rFonts w:ascii="Calibri" w:hAnsi="Calibri" w:cs="Calibri"/>
                <w:szCs w:val="24"/>
              </w:rPr>
              <w:t xml:space="preserve"> See “</w:t>
            </w:r>
            <w:r w:rsidR="00AB311A" w:rsidRPr="006D73FB">
              <w:rPr>
                <w:rFonts w:ascii="Calibri" w:hAnsi="Calibri" w:cs="Calibri"/>
                <w:b/>
                <w:bCs/>
                <w:i/>
                <w:iCs/>
                <w:szCs w:val="24"/>
              </w:rPr>
              <w:t>Guidance for Preparing Liquidity Coverage Ratio (LCR) Reporting Form</w:t>
            </w:r>
            <w:r w:rsidR="00AB311A">
              <w:rPr>
                <w:rFonts w:ascii="Calibri" w:hAnsi="Calibri" w:cs="Calibri"/>
                <w:szCs w:val="24"/>
              </w:rPr>
              <w:t xml:space="preserve">” </w:t>
            </w:r>
            <w:r w:rsidR="006D73FB">
              <w:rPr>
                <w:rFonts w:ascii="Calibri" w:hAnsi="Calibri" w:cs="Calibri"/>
                <w:szCs w:val="24"/>
              </w:rPr>
              <w:t>[</w:t>
            </w:r>
            <w:r w:rsidR="006D73FB" w:rsidRPr="006D73FB">
              <w:rPr>
                <w:rFonts w:ascii="Calibri" w:hAnsi="Calibri" w:cs="Calibri"/>
                <w:szCs w:val="24"/>
                <w:highlight w:val="cyan"/>
              </w:rPr>
              <w:t>link when finalised</w:t>
            </w:r>
            <w:r w:rsidR="006D73FB">
              <w:rPr>
                <w:rFonts w:ascii="Calibri" w:hAnsi="Calibri" w:cs="Calibri"/>
                <w:szCs w:val="24"/>
              </w:rPr>
              <w:t xml:space="preserve">] </w:t>
            </w:r>
            <w:r w:rsidR="00D667E0">
              <w:rPr>
                <w:rFonts w:ascii="Calibri" w:hAnsi="Calibri" w:cs="Calibri"/>
                <w:szCs w:val="24"/>
              </w:rPr>
              <w:t xml:space="preserve">(LCR Reporting Form Guidance) </w:t>
            </w:r>
            <w:r w:rsidR="00AB311A">
              <w:rPr>
                <w:rFonts w:ascii="Calibri" w:hAnsi="Calibri" w:cs="Calibri"/>
                <w:szCs w:val="24"/>
              </w:rPr>
              <w:t>for further information.</w:t>
            </w:r>
          </w:p>
        </w:tc>
      </w:tr>
      <w:tr w:rsidR="00327529" w14:paraId="08064A7C" w14:textId="77777777" w:rsidTr="002C4153">
        <w:tc>
          <w:tcPr>
            <w:tcW w:w="2263" w:type="dxa"/>
          </w:tcPr>
          <w:p w14:paraId="7CA52C9D" w14:textId="5ABF7AD7" w:rsidR="00327529" w:rsidRPr="00111AC6" w:rsidRDefault="00327529" w:rsidP="002C4153">
            <w:pPr>
              <w:contextualSpacing/>
              <w:rPr>
                <w:rFonts w:ascii="Calibri" w:hAnsi="Calibri" w:cs="Calibri"/>
                <w:b/>
                <w:bCs/>
                <w:szCs w:val="24"/>
              </w:rPr>
            </w:pPr>
            <w:r>
              <w:rPr>
                <w:rFonts w:ascii="Calibri" w:hAnsi="Calibri" w:cs="Calibri"/>
                <w:b/>
                <w:bCs/>
                <w:szCs w:val="24"/>
              </w:rPr>
              <w:t>LCR Standard</w:t>
            </w:r>
          </w:p>
        </w:tc>
        <w:tc>
          <w:tcPr>
            <w:tcW w:w="6753" w:type="dxa"/>
          </w:tcPr>
          <w:p w14:paraId="4F88055B" w14:textId="77777777" w:rsidR="00327529" w:rsidRDefault="00327529" w:rsidP="00E76ABD">
            <w:pPr>
              <w:contextualSpacing/>
              <w:jc w:val="both"/>
              <w:rPr>
                <w:rFonts w:ascii="Calibri" w:hAnsi="Calibri" w:cs="Calibri"/>
                <w:szCs w:val="24"/>
              </w:rPr>
            </w:pPr>
            <w:r>
              <w:rPr>
                <w:rFonts w:ascii="Calibri" w:hAnsi="Calibri" w:cs="Calibri"/>
                <w:szCs w:val="24"/>
              </w:rPr>
              <w:t>The Liquidity Coverage Ratio Standard, also referred to as the LCR Standard, means the LCR Standard as it was incorporated into the consolidated Basel Framework and which contains frequently asked questions and responses, effective 15 December 2019</w:t>
            </w:r>
            <w:r w:rsidR="00F17D09">
              <w:rPr>
                <w:rFonts w:ascii="Calibri" w:hAnsi="Calibri" w:cs="Calibri"/>
                <w:szCs w:val="24"/>
              </w:rPr>
              <w:t>.</w:t>
            </w:r>
          </w:p>
          <w:p w14:paraId="62AFD1E1" w14:textId="77777777" w:rsidR="00F17D09" w:rsidRDefault="00F17D09" w:rsidP="00E76ABD">
            <w:pPr>
              <w:contextualSpacing/>
              <w:jc w:val="both"/>
              <w:rPr>
                <w:rFonts w:ascii="Calibri" w:hAnsi="Calibri" w:cs="Calibri"/>
                <w:szCs w:val="24"/>
              </w:rPr>
            </w:pPr>
          </w:p>
          <w:p w14:paraId="441F9818" w14:textId="77777777" w:rsidR="00F17D09" w:rsidRDefault="00F17D09" w:rsidP="00E76ABD">
            <w:pPr>
              <w:contextualSpacing/>
              <w:jc w:val="both"/>
              <w:rPr>
                <w:rFonts w:ascii="Calibri" w:hAnsi="Calibri" w:cs="Calibri"/>
                <w:szCs w:val="24"/>
              </w:rPr>
            </w:pPr>
            <w:r>
              <w:rPr>
                <w:rFonts w:ascii="Calibri" w:hAnsi="Calibri" w:cs="Calibri"/>
                <w:szCs w:val="24"/>
              </w:rPr>
              <w:t>The LCR Standard can be found at</w:t>
            </w:r>
          </w:p>
          <w:p w14:paraId="376373CC" w14:textId="77777777" w:rsidR="002859F3" w:rsidRDefault="00F17D09" w:rsidP="00E76ABD">
            <w:pPr>
              <w:contextualSpacing/>
              <w:jc w:val="both"/>
              <w:rPr>
                <w:b/>
                <w:bCs/>
              </w:rPr>
            </w:pPr>
            <w:hyperlink r:id="rId13" w:history="1">
              <w:r w:rsidRPr="00E9312F">
                <w:rPr>
                  <w:rStyle w:val="Hyperlink"/>
                  <w:rFonts w:ascii="Calibri" w:hAnsi="Calibri" w:cs="Calibri"/>
                  <w:b/>
                  <w:bCs/>
                  <w:szCs w:val="24"/>
                </w:rPr>
                <w:t>https://www.bis.org/basel_framework/standard/LCR.htm</w:t>
              </w:r>
            </w:hyperlink>
          </w:p>
          <w:p w14:paraId="67AD8CFA" w14:textId="090FEDA5" w:rsidR="00CA0214" w:rsidRPr="002859F3" w:rsidRDefault="00CA0214" w:rsidP="00E76ABD">
            <w:pPr>
              <w:contextualSpacing/>
              <w:jc w:val="both"/>
              <w:rPr>
                <w:b/>
                <w:bCs/>
              </w:rPr>
            </w:pPr>
          </w:p>
        </w:tc>
      </w:tr>
      <w:tr w:rsidR="00EC0C92" w14:paraId="4AB491A2" w14:textId="77777777" w:rsidTr="002C4153">
        <w:tc>
          <w:tcPr>
            <w:tcW w:w="2263" w:type="dxa"/>
          </w:tcPr>
          <w:p w14:paraId="2F364904" w14:textId="77777777" w:rsidR="002C4153" w:rsidRPr="00111AC6" w:rsidRDefault="002C4153" w:rsidP="002C4153">
            <w:pPr>
              <w:contextualSpacing/>
              <w:rPr>
                <w:rFonts w:ascii="Calibri" w:hAnsi="Calibri" w:cs="Calibri"/>
                <w:b/>
                <w:bCs/>
                <w:szCs w:val="24"/>
              </w:rPr>
            </w:pPr>
            <w:r w:rsidRPr="00111AC6">
              <w:rPr>
                <w:rFonts w:ascii="Calibri" w:hAnsi="Calibri" w:cs="Calibri"/>
                <w:b/>
                <w:bCs/>
                <w:szCs w:val="24"/>
              </w:rPr>
              <w:t>Multilateral Development Bank (MDB)</w:t>
            </w:r>
          </w:p>
          <w:p w14:paraId="503FBE48" w14:textId="77777777" w:rsidR="00EC0C92" w:rsidRPr="00111AC6" w:rsidRDefault="00EC0C92" w:rsidP="00374149">
            <w:pPr>
              <w:contextualSpacing/>
              <w:rPr>
                <w:rFonts w:ascii="Calibri" w:hAnsi="Calibri" w:cs="Calibri"/>
                <w:b/>
                <w:bCs/>
                <w:szCs w:val="24"/>
              </w:rPr>
            </w:pPr>
          </w:p>
        </w:tc>
        <w:tc>
          <w:tcPr>
            <w:tcW w:w="6753" w:type="dxa"/>
          </w:tcPr>
          <w:p w14:paraId="2E195F31" w14:textId="77777777" w:rsidR="00EC0C92" w:rsidRDefault="002C4153" w:rsidP="00E76ABD">
            <w:pPr>
              <w:contextualSpacing/>
              <w:jc w:val="both"/>
              <w:rPr>
                <w:rFonts w:ascii="Calibri" w:hAnsi="Calibri" w:cs="Calibri"/>
                <w:szCs w:val="24"/>
              </w:rPr>
            </w:pPr>
            <w:r w:rsidRPr="00FD4812">
              <w:rPr>
                <w:rFonts w:ascii="Calibri" w:hAnsi="Calibri" w:cs="Calibri"/>
                <w:szCs w:val="24"/>
              </w:rPr>
              <w:t>An institution created by a group of countries that provides financing and professional advice for economic and social development projects.</w:t>
            </w:r>
            <w:r>
              <w:rPr>
                <w:rFonts w:ascii="Calibri" w:hAnsi="Calibri" w:cs="Calibri"/>
                <w:szCs w:val="24"/>
              </w:rPr>
              <w:t xml:space="preserve"> MDBs have large sovereign membership and may include both developed and/or developing countries. Each </w:t>
            </w:r>
            <w:r>
              <w:rPr>
                <w:rFonts w:ascii="Calibri" w:hAnsi="Calibri" w:cs="Calibri"/>
                <w:szCs w:val="24"/>
              </w:rPr>
              <w:lastRenderedPageBreak/>
              <w:t>MDB has its own independent legal and operational status, but with a similar mandate and a considerable number of joint owners.</w:t>
            </w:r>
          </w:p>
          <w:p w14:paraId="1E01320D" w14:textId="77777777" w:rsidR="00CA0214" w:rsidRDefault="00CA0214" w:rsidP="00E76ABD">
            <w:pPr>
              <w:contextualSpacing/>
              <w:rPr>
                <w:rFonts w:ascii="Calibri" w:hAnsi="Calibri" w:cs="Calibri"/>
                <w:b/>
                <w:bCs/>
                <w:i/>
                <w:iCs/>
                <w:szCs w:val="24"/>
              </w:rPr>
            </w:pPr>
          </w:p>
          <w:p w14:paraId="3873BA08" w14:textId="2EE9E807" w:rsidR="002859F3" w:rsidRPr="00E76ABD" w:rsidRDefault="00E76ABD" w:rsidP="00E76ABD">
            <w:pPr>
              <w:contextualSpacing/>
              <w:rPr>
                <w:rFonts w:ascii="Calibri" w:hAnsi="Calibri" w:cs="Calibri"/>
                <w:b/>
                <w:bCs/>
                <w:i/>
                <w:iCs/>
                <w:szCs w:val="24"/>
              </w:rPr>
            </w:pPr>
            <w:r w:rsidRPr="00E76ABD">
              <w:rPr>
                <w:rFonts w:ascii="Calibri" w:hAnsi="Calibri" w:cs="Calibri"/>
                <w:b/>
                <w:bCs/>
                <w:i/>
                <w:iCs/>
                <w:szCs w:val="24"/>
              </w:rPr>
              <w:t xml:space="preserve">Eligible MDBs are defined at </w:t>
            </w:r>
            <w:r w:rsidRPr="00BF714F">
              <w:rPr>
                <w:rFonts w:ascii="Calibri" w:hAnsi="Calibri" w:cs="Calibri"/>
                <w:b/>
                <w:bCs/>
                <w:i/>
                <w:iCs/>
                <w:szCs w:val="24"/>
              </w:rPr>
              <w:t xml:space="preserve">Annex </w:t>
            </w:r>
            <w:r w:rsidR="002746C7">
              <w:rPr>
                <w:rFonts w:ascii="Calibri" w:hAnsi="Calibri" w:cs="Calibri"/>
                <w:b/>
                <w:bCs/>
                <w:i/>
                <w:iCs/>
                <w:szCs w:val="24"/>
              </w:rPr>
              <w:t>B</w:t>
            </w:r>
            <w:r w:rsidRPr="00BF714F">
              <w:rPr>
                <w:rFonts w:ascii="Calibri" w:hAnsi="Calibri" w:cs="Calibri"/>
                <w:b/>
                <w:bCs/>
                <w:i/>
                <w:iCs/>
                <w:szCs w:val="24"/>
              </w:rPr>
              <w:t>.</w:t>
            </w:r>
          </w:p>
        </w:tc>
      </w:tr>
      <w:tr w:rsidR="00C657C7" w14:paraId="2A9299BE" w14:textId="77777777" w:rsidTr="002C4153">
        <w:tc>
          <w:tcPr>
            <w:tcW w:w="2263" w:type="dxa"/>
          </w:tcPr>
          <w:p w14:paraId="29CA69EA" w14:textId="4F69FAFB" w:rsidR="00C657C7" w:rsidRPr="00111AC6" w:rsidRDefault="00C657C7" w:rsidP="002C4153">
            <w:pPr>
              <w:contextualSpacing/>
              <w:rPr>
                <w:rFonts w:ascii="Calibri" w:hAnsi="Calibri" w:cs="Calibri"/>
                <w:b/>
                <w:bCs/>
                <w:szCs w:val="24"/>
              </w:rPr>
            </w:pPr>
            <w:r>
              <w:rPr>
                <w:rFonts w:ascii="Calibri" w:hAnsi="Calibri" w:cs="Calibri"/>
                <w:b/>
                <w:bCs/>
                <w:szCs w:val="24"/>
              </w:rPr>
              <w:lastRenderedPageBreak/>
              <w:t>Net Stable Funding Ratio (NSFR)</w:t>
            </w:r>
          </w:p>
        </w:tc>
        <w:tc>
          <w:tcPr>
            <w:tcW w:w="6753" w:type="dxa"/>
          </w:tcPr>
          <w:p w14:paraId="554DF3E6" w14:textId="5E771D12" w:rsidR="002859F3" w:rsidRPr="00220425" w:rsidRDefault="00EF6C58" w:rsidP="00E76ABD">
            <w:pPr>
              <w:contextualSpacing/>
              <w:jc w:val="both"/>
              <w:rPr>
                <w:szCs w:val="24"/>
              </w:rPr>
            </w:pPr>
            <w:r>
              <w:rPr>
                <w:szCs w:val="24"/>
              </w:rPr>
              <w:t>T</w:t>
            </w:r>
            <w:r w:rsidRPr="005036A8">
              <w:rPr>
                <w:szCs w:val="24"/>
              </w:rPr>
              <w:t>he amount of available stable funding relative to the amount of</w:t>
            </w:r>
            <w:r>
              <w:rPr>
                <w:szCs w:val="24"/>
              </w:rPr>
              <w:t xml:space="preserve"> </w:t>
            </w:r>
            <w:r w:rsidRPr="005036A8">
              <w:rPr>
                <w:szCs w:val="24"/>
              </w:rPr>
              <w:t>required stable funding</w:t>
            </w:r>
            <w:r>
              <w:rPr>
                <w:szCs w:val="24"/>
              </w:rPr>
              <w:t>.</w:t>
            </w:r>
          </w:p>
        </w:tc>
      </w:tr>
      <w:tr w:rsidR="008F7E60" w14:paraId="3DE114C4" w14:textId="77777777" w:rsidTr="002C4153">
        <w:tc>
          <w:tcPr>
            <w:tcW w:w="2263" w:type="dxa"/>
          </w:tcPr>
          <w:p w14:paraId="5076E425" w14:textId="7316A670" w:rsidR="008F7E60" w:rsidRPr="00F139D8" w:rsidRDefault="008F7E60" w:rsidP="002C4153">
            <w:pPr>
              <w:contextualSpacing/>
              <w:rPr>
                <w:rFonts w:ascii="Calibri" w:hAnsi="Calibri" w:cs="Calibri"/>
                <w:b/>
                <w:bCs/>
                <w:szCs w:val="24"/>
              </w:rPr>
            </w:pPr>
            <w:r w:rsidRPr="00F139D8">
              <w:rPr>
                <w:rFonts w:ascii="Calibri" w:hAnsi="Calibri" w:cs="Calibri"/>
                <w:b/>
                <w:bCs/>
                <w:szCs w:val="24"/>
              </w:rPr>
              <w:t>NSFR Standard</w:t>
            </w:r>
          </w:p>
        </w:tc>
        <w:tc>
          <w:tcPr>
            <w:tcW w:w="6753" w:type="dxa"/>
          </w:tcPr>
          <w:p w14:paraId="40C253B9" w14:textId="3A2C4E40" w:rsidR="008F7E60" w:rsidRPr="00F139D8" w:rsidRDefault="008F7E60" w:rsidP="008F7E60">
            <w:pPr>
              <w:contextualSpacing/>
              <w:jc w:val="both"/>
              <w:rPr>
                <w:rFonts w:ascii="Calibri" w:hAnsi="Calibri" w:cs="Calibri"/>
                <w:szCs w:val="24"/>
              </w:rPr>
            </w:pPr>
            <w:r w:rsidRPr="00F139D8">
              <w:rPr>
                <w:rFonts w:ascii="Calibri" w:hAnsi="Calibri" w:cs="Calibri"/>
                <w:szCs w:val="24"/>
              </w:rPr>
              <w:t xml:space="preserve">The </w:t>
            </w:r>
            <w:r w:rsidR="00F139D8" w:rsidRPr="00F139D8">
              <w:rPr>
                <w:rFonts w:ascii="Calibri" w:hAnsi="Calibri" w:cs="Calibri"/>
                <w:szCs w:val="24"/>
              </w:rPr>
              <w:t>Net Stable Funding</w:t>
            </w:r>
            <w:r w:rsidRPr="00F139D8">
              <w:rPr>
                <w:rFonts w:ascii="Calibri" w:hAnsi="Calibri" w:cs="Calibri"/>
                <w:szCs w:val="24"/>
              </w:rPr>
              <w:t xml:space="preserve"> Ratio Standard, also referred to as the </w:t>
            </w:r>
            <w:r w:rsidR="00F139D8" w:rsidRPr="00F139D8">
              <w:rPr>
                <w:rFonts w:ascii="Calibri" w:hAnsi="Calibri" w:cs="Calibri"/>
                <w:szCs w:val="24"/>
              </w:rPr>
              <w:t>NSFR</w:t>
            </w:r>
            <w:r w:rsidRPr="00F139D8">
              <w:rPr>
                <w:rFonts w:ascii="Calibri" w:hAnsi="Calibri" w:cs="Calibri"/>
                <w:szCs w:val="24"/>
              </w:rPr>
              <w:t xml:space="preserve"> Standard, means the </w:t>
            </w:r>
            <w:r w:rsidR="00F139D8" w:rsidRPr="00F139D8">
              <w:rPr>
                <w:rFonts w:ascii="Calibri" w:hAnsi="Calibri" w:cs="Calibri"/>
                <w:szCs w:val="24"/>
              </w:rPr>
              <w:t>NSFR</w:t>
            </w:r>
            <w:r w:rsidRPr="00F139D8">
              <w:rPr>
                <w:rFonts w:ascii="Calibri" w:hAnsi="Calibri" w:cs="Calibri"/>
                <w:szCs w:val="24"/>
              </w:rPr>
              <w:t xml:space="preserve"> Standard as it was incorporated into the consolidated Basel Framework and which contains frequently asked questions and responses, effective 15 December 2019.</w:t>
            </w:r>
          </w:p>
          <w:p w14:paraId="7A12A8F6" w14:textId="77777777" w:rsidR="008F7E60" w:rsidRPr="00F139D8" w:rsidRDefault="008F7E60" w:rsidP="008F7E60">
            <w:pPr>
              <w:contextualSpacing/>
              <w:jc w:val="both"/>
              <w:rPr>
                <w:rFonts w:ascii="Calibri" w:hAnsi="Calibri" w:cs="Calibri"/>
                <w:szCs w:val="24"/>
              </w:rPr>
            </w:pPr>
          </w:p>
          <w:p w14:paraId="4081FBCA" w14:textId="77777777" w:rsidR="002859F3" w:rsidRDefault="008F7E60" w:rsidP="005C6BAE">
            <w:pPr>
              <w:contextualSpacing/>
              <w:rPr>
                <w:b/>
                <w:bCs/>
              </w:rPr>
            </w:pPr>
            <w:r w:rsidRPr="00F139D8">
              <w:rPr>
                <w:rFonts w:ascii="Calibri" w:hAnsi="Calibri" w:cs="Calibri"/>
                <w:szCs w:val="24"/>
              </w:rPr>
              <w:t xml:space="preserve">The </w:t>
            </w:r>
            <w:r w:rsidR="00F139D8" w:rsidRPr="00F139D8">
              <w:rPr>
                <w:rFonts w:ascii="Calibri" w:hAnsi="Calibri" w:cs="Calibri"/>
                <w:szCs w:val="24"/>
              </w:rPr>
              <w:t>NSFR</w:t>
            </w:r>
            <w:r w:rsidRPr="00F139D8">
              <w:rPr>
                <w:rFonts w:ascii="Calibri" w:hAnsi="Calibri" w:cs="Calibri"/>
                <w:szCs w:val="24"/>
              </w:rPr>
              <w:t xml:space="preserve"> Standard can be found at</w:t>
            </w:r>
            <w:r w:rsidR="00F139D8">
              <w:rPr>
                <w:rFonts w:ascii="Calibri" w:hAnsi="Calibri" w:cs="Calibri"/>
                <w:szCs w:val="24"/>
              </w:rPr>
              <w:t>:</w:t>
            </w:r>
            <w:r w:rsidRPr="00F139D8">
              <w:rPr>
                <w:rFonts w:ascii="Calibri" w:hAnsi="Calibri" w:cs="Calibri"/>
                <w:szCs w:val="24"/>
              </w:rPr>
              <w:t xml:space="preserve"> </w:t>
            </w:r>
            <w:hyperlink r:id="rId14" w:history="1">
              <w:r w:rsidR="005C6BAE" w:rsidRPr="00E9312F">
                <w:rPr>
                  <w:rStyle w:val="Hyperlink"/>
                  <w:b/>
                  <w:bCs/>
                </w:rPr>
                <w:t>https://www.bis.org/basel_framework/standard/NSF.htm</w:t>
              </w:r>
            </w:hyperlink>
          </w:p>
          <w:p w14:paraId="7C1B4989" w14:textId="48EC1F3B" w:rsidR="002859F3" w:rsidRPr="002859F3" w:rsidRDefault="002859F3" w:rsidP="005C6BAE">
            <w:pPr>
              <w:contextualSpacing/>
              <w:rPr>
                <w:b/>
                <w:bCs/>
              </w:rPr>
            </w:pPr>
          </w:p>
        </w:tc>
      </w:tr>
      <w:tr w:rsidR="00EC0C92" w14:paraId="71B5DC2C" w14:textId="77777777" w:rsidTr="002C4153">
        <w:tc>
          <w:tcPr>
            <w:tcW w:w="2263" w:type="dxa"/>
          </w:tcPr>
          <w:p w14:paraId="7979ABEC" w14:textId="1987979D" w:rsidR="00EC0C92" w:rsidRPr="00111AC6" w:rsidRDefault="002C4153" w:rsidP="00374149">
            <w:pPr>
              <w:contextualSpacing/>
              <w:rPr>
                <w:rFonts w:ascii="Calibri" w:hAnsi="Calibri" w:cs="Calibri"/>
                <w:b/>
                <w:bCs/>
                <w:szCs w:val="24"/>
              </w:rPr>
            </w:pPr>
            <w:r w:rsidRPr="00111AC6">
              <w:rPr>
                <w:rFonts w:ascii="Calibri" w:hAnsi="Calibri" w:cs="Calibri"/>
                <w:b/>
                <w:bCs/>
                <w:szCs w:val="24"/>
              </w:rPr>
              <w:t>Non-financial</w:t>
            </w:r>
          </w:p>
        </w:tc>
        <w:tc>
          <w:tcPr>
            <w:tcW w:w="6753" w:type="dxa"/>
          </w:tcPr>
          <w:p w14:paraId="4BC578BE" w14:textId="1AA33526" w:rsidR="002859F3" w:rsidRDefault="002C4153" w:rsidP="00E76ABD">
            <w:pPr>
              <w:contextualSpacing/>
              <w:jc w:val="both"/>
              <w:rPr>
                <w:rFonts w:ascii="Calibri" w:hAnsi="Calibri" w:cs="Calibri"/>
                <w:szCs w:val="24"/>
              </w:rPr>
            </w:pPr>
            <w:r>
              <w:rPr>
                <w:rFonts w:ascii="Calibri" w:hAnsi="Calibri" w:cs="Calibri"/>
                <w:szCs w:val="24"/>
              </w:rPr>
              <w:t>Not conducting those activities undertaken by financial institutions.</w:t>
            </w:r>
          </w:p>
        </w:tc>
      </w:tr>
      <w:tr w:rsidR="009B1C25" w14:paraId="59A16B58" w14:textId="77777777" w:rsidTr="002C4153">
        <w:tc>
          <w:tcPr>
            <w:tcW w:w="2263" w:type="dxa"/>
          </w:tcPr>
          <w:p w14:paraId="321A1E70" w14:textId="0EF8055E" w:rsidR="009B1C25" w:rsidRDefault="009B1C25" w:rsidP="00374149">
            <w:pPr>
              <w:contextualSpacing/>
              <w:rPr>
                <w:rFonts w:ascii="Calibri" w:hAnsi="Calibri" w:cs="Calibri"/>
                <w:b/>
                <w:bCs/>
                <w:szCs w:val="24"/>
              </w:rPr>
            </w:pPr>
            <w:r>
              <w:rPr>
                <w:rFonts w:ascii="Calibri" w:hAnsi="Calibri" w:cs="Calibri"/>
                <w:b/>
                <w:bCs/>
                <w:szCs w:val="24"/>
              </w:rPr>
              <w:t>Public Sector Entity (PSE)</w:t>
            </w:r>
          </w:p>
        </w:tc>
        <w:tc>
          <w:tcPr>
            <w:tcW w:w="6753" w:type="dxa"/>
          </w:tcPr>
          <w:p w14:paraId="2F0E7B6A" w14:textId="023AC514" w:rsidR="002859F3" w:rsidRPr="002859F3" w:rsidRDefault="004E6BE8" w:rsidP="00E76ABD">
            <w:pPr>
              <w:contextualSpacing/>
              <w:jc w:val="both"/>
              <w:rPr>
                <w:rFonts w:ascii="Calibri" w:hAnsi="Calibri" w:cs="Calibri"/>
                <w:szCs w:val="24"/>
              </w:rPr>
            </w:pPr>
            <w:r>
              <w:rPr>
                <w:rFonts w:ascii="Calibri" w:hAnsi="Calibri" w:cs="Calibri"/>
                <w:szCs w:val="24"/>
              </w:rPr>
              <w:t>Certain entities which have characteristics as set out in the</w:t>
            </w:r>
            <w:r w:rsidR="001E771B">
              <w:rPr>
                <w:rFonts w:ascii="Calibri" w:hAnsi="Calibri" w:cs="Calibri"/>
                <w:szCs w:val="24"/>
              </w:rPr>
              <w:t xml:space="preserve"> </w:t>
            </w:r>
            <w:hyperlink r:id="rId15" w:history="1">
              <w:r w:rsidR="001E771B" w:rsidRPr="0041162D">
                <w:rPr>
                  <w:rStyle w:val="Hyperlink"/>
                  <w:rFonts w:ascii="Calibri" w:hAnsi="Calibri" w:cs="Calibri"/>
                  <w:szCs w:val="24"/>
                </w:rPr>
                <w:t>“</w:t>
              </w:r>
              <w:r w:rsidR="001E771B" w:rsidRPr="00E9312F">
                <w:rPr>
                  <w:rStyle w:val="Hyperlink"/>
                  <w:rFonts w:ascii="Calibri" w:hAnsi="Calibri" w:cs="Calibri"/>
                  <w:b/>
                  <w:bCs/>
                  <w:i/>
                  <w:iCs/>
                  <w:szCs w:val="24"/>
                </w:rPr>
                <w:t>Guidance Note for Deposit Takers, Quarterly Prudential Returns</w:t>
              </w:r>
              <w:r w:rsidR="001E771B" w:rsidRPr="0041162D">
                <w:rPr>
                  <w:rStyle w:val="Hyperlink"/>
                  <w:rFonts w:ascii="Calibri" w:hAnsi="Calibri" w:cs="Calibri"/>
                  <w:szCs w:val="24"/>
                </w:rPr>
                <w:t>”</w:t>
              </w:r>
            </w:hyperlink>
            <w:r w:rsidR="001E771B" w:rsidRPr="00CB0579">
              <w:rPr>
                <w:rFonts w:ascii="Calibri" w:hAnsi="Calibri" w:cs="Calibri"/>
                <w:szCs w:val="24"/>
              </w:rPr>
              <w:t xml:space="preserve"> issued October 2017</w:t>
            </w:r>
            <w:r w:rsidR="001E771B">
              <w:rPr>
                <w:rFonts w:ascii="Calibri" w:hAnsi="Calibri" w:cs="Calibri"/>
                <w:szCs w:val="24"/>
              </w:rPr>
              <w:t>.</w:t>
            </w:r>
          </w:p>
        </w:tc>
      </w:tr>
      <w:tr w:rsidR="00C657C7" w14:paraId="5B4A69FC" w14:textId="77777777" w:rsidTr="002C4153">
        <w:tc>
          <w:tcPr>
            <w:tcW w:w="2263" w:type="dxa"/>
          </w:tcPr>
          <w:p w14:paraId="59C5CDF7" w14:textId="3710A7E0" w:rsidR="00C657C7" w:rsidRPr="00111AC6" w:rsidRDefault="00C657C7" w:rsidP="00374149">
            <w:pPr>
              <w:contextualSpacing/>
              <w:rPr>
                <w:rFonts w:ascii="Calibri" w:hAnsi="Calibri" w:cs="Calibri"/>
                <w:b/>
                <w:bCs/>
                <w:szCs w:val="24"/>
              </w:rPr>
            </w:pPr>
            <w:r>
              <w:rPr>
                <w:rFonts w:ascii="Calibri" w:hAnsi="Calibri" w:cs="Calibri"/>
                <w:b/>
                <w:bCs/>
                <w:szCs w:val="24"/>
              </w:rPr>
              <w:t>Required Stable Funding (RSF)</w:t>
            </w:r>
          </w:p>
        </w:tc>
        <w:tc>
          <w:tcPr>
            <w:tcW w:w="6753" w:type="dxa"/>
          </w:tcPr>
          <w:p w14:paraId="147B5A78" w14:textId="23A754AD" w:rsidR="002859F3" w:rsidRPr="00B95B4E" w:rsidRDefault="00B95B4E" w:rsidP="00E76ABD">
            <w:pPr>
              <w:contextualSpacing/>
              <w:jc w:val="both"/>
              <w:rPr>
                <w:szCs w:val="24"/>
              </w:rPr>
            </w:pPr>
            <w:r w:rsidRPr="005036A8">
              <w:rPr>
                <w:szCs w:val="24"/>
              </w:rPr>
              <w:t>The amount of stable</w:t>
            </w:r>
            <w:r>
              <w:rPr>
                <w:szCs w:val="24"/>
              </w:rPr>
              <w:t xml:space="preserve"> </w:t>
            </w:r>
            <w:r w:rsidRPr="005036A8">
              <w:rPr>
                <w:szCs w:val="24"/>
              </w:rPr>
              <w:t>funding required</w:t>
            </w:r>
            <w:r>
              <w:rPr>
                <w:szCs w:val="24"/>
              </w:rPr>
              <w:t xml:space="preserve">, being </w:t>
            </w:r>
            <w:r w:rsidRPr="005036A8">
              <w:rPr>
                <w:szCs w:val="24"/>
              </w:rPr>
              <w:t>a function of the liquidity</w:t>
            </w:r>
            <w:r>
              <w:rPr>
                <w:szCs w:val="24"/>
              </w:rPr>
              <w:t xml:space="preserve"> </w:t>
            </w:r>
            <w:r w:rsidRPr="005036A8">
              <w:rPr>
                <w:szCs w:val="24"/>
              </w:rPr>
              <w:t xml:space="preserve">characteristics and residual maturities of the various assets held by </w:t>
            </w:r>
            <w:r>
              <w:rPr>
                <w:szCs w:val="24"/>
              </w:rPr>
              <w:t xml:space="preserve">a bank </w:t>
            </w:r>
            <w:r w:rsidRPr="005036A8">
              <w:rPr>
                <w:szCs w:val="24"/>
              </w:rPr>
              <w:t>as well</w:t>
            </w:r>
            <w:r>
              <w:rPr>
                <w:szCs w:val="24"/>
              </w:rPr>
              <w:t xml:space="preserve"> </w:t>
            </w:r>
            <w:r w:rsidRPr="005036A8">
              <w:rPr>
                <w:szCs w:val="24"/>
              </w:rPr>
              <w:t>as those of its off-balance sheet exposures.</w:t>
            </w:r>
          </w:p>
        </w:tc>
      </w:tr>
      <w:tr w:rsidR="00EC0C92" w14:paraId="49D20CDF" w14:textId="77777777" w:rsidTr="002C4153">
        <w:tc>
          <w:tcPr>
            <w:tcW w:w="2263" w:type="dxa"/>
          </w:tcPr>
          <w:p w14:paraId="3E875D61" w14:textId="77777777" w:rsidR="002C4153" w:rsidRPr="00111AC6" w:rsidRDefault="002C4153" w:rsidP="00BF714F">
            <w:pPr>
              <w:contextualSpacing/>
              <w:rPr>
                <w:rFonts w:ascii="Calibri" w:hAnsi="Calibri" w:cs="Calibri"/>
                <w:b/>
                <w:bCs/>
                <w:szCs w:val="24"/>
              </w:rPr>
            </w:pPr>
            <w:r w:rsidRPr="00111AC6">
              <w:rPr>
                <w:rFonts w:ascii="Calibri" w:hAnsi="Calibri" w:cs="Calibri"/>
                <w:b/>
                <w:bCs/>
                <w:szCs w:val="24"/>
              </w:rPr>
              <w:t>Small businesses</w:t>
            </w:r>
          </w:p>
          <w:p w14:paraId="287C8159" w14:textId="77777777" w:rsidR="00EC0C92" w:rsidRPr="00111AC6" w:rsidRDefault="00EC0C92" w:rsidP="00BF714F">
            <w:pPr>
              <w:contextualSpacing/>
              <w:rPr>
                <w:rFonts w:ascii="Calibri" w:hAnsi="Calibri" w:cs="Calibri"/>
                <w:b/>
                <w:bCs/>
                <w:szCs w:val="24"/>
              </w:rPr>
            </w:pPr>
          </w:p>
        </w:tc>
        <w:tc>
          <w:tcPr>
            <w:tcW w:w="6753" w:type="dxa"/>
          </w:tcPr>
          <w:p w14:paraId="4E6B81B8" w14:textId="6450F9E4" w:rsidR="002C4153" w:rsidRPr="00AB531D" w:rsidRDefault="002C4153" w:rsidP="00EF6C58">
            <w:pPr>
              <w:autoSpaceDE w:val="0"/>
              <w:autoSpaceDN w:val="0"/>
              <w:adjustRightInd w:val="0"/>
              <w:jc w:val="both"/>
              <w:rPr>
                <w:rFonts w:ascii="Calibri" w:hAnsi="Calibri" w:cs="Calibri"/>
                <w:szCs w:val="24"/>
              </w:rPr>
            </w:pPr>
            <w:r>
              <w:rPr>
                <w:rFonts w:ascii="Calibri" w:hAnsi="Calibri" w:cs="Calibri"/>
                <w:szCs w:val="24"/>
              </w:rPr>
              <w:t>B</w:t>
            </w:r>
            <w:r w:rsidRPr="00AB531D">
              <w:rPr>
                <w:rFonts w:ascii="Calibri" w:hAnsi="Calibri" w:cs="Calibri"/>
                <w:szCs w:val="24"/>
              </w:rPr>
              <w:t>usinesses where either:</w:t>
            </w:r>
          </w:p>
          <w:p w14:paraId="2B550FC9" w14:textId="1DF68C5F" w:rsidR="002C4153" w:rsidRPr="00BF714F" w:rsidRDefault="002C4153" w:rsidP="00EF6C58">
            <w:pPr>
              <w:pStyle w:val="ListParagraph"/>
              <w:numPr>
                <w:ilvl w:val="0"/>
                <w:numId w:val="56"/>
              </w:numPr>
              <w:autoSpaceDE w:val="0"/>
              <w:autoSpaceDN w:val="0"/>
              <w:adjustRightInd w:val="0"/>
              <w:jc w:val="both"/>
              <w:rPr>
                <w:rFonts w:ascii="Calibri" w:hAnsi="Calibri" w:cs="Calibri"/>
                <w:szCs w:val="24"/>
              </w:rPr>
            </w:pPr>
            <w:r w:rsidRPr="00AB531D">
              <w:rPr>
                <w:rFonts w:ascii="Calibri" w:hAnsi="Calibri" w:cs="Calibri"/>
                <w:szCs w:val="24"/>
              </w:rPr>
              <w:t>the business borrows money from the bank and that borrowing meets the rules for the definition of “retail exposures” at Annex H to SR-1B (for banks adopting the simplified standardised approach to credit risk) and Annex J to SR-1B (for banks adopting the standardised approach to credit risk) i.e.</w:t>
            </w:r>
          </w:p>
          <w:p w14:paraId="794B6CD4" w14:textId="77777777" w:rsidR="002C4153" w:rsidRPr="00AB531D" w:rsidRDefault="002C4153" w:rsidP="00EF6C58">
            <w:pPr>
              <w:pStyle w:val="ListParagraph"/>
              <w:numPr>
                <w:ilvl w:val="1"/>
                <w:numId w:val="56"/>
              </w:numPr>
              <w:autoSpaceDE w:val="0"/>
              <w:autoSpaceDN w:val="0"/>
              <w:adjustRightInd w:val="0"/>
              <w:jc w:val="both"/>
              <w:rPr>
                <w:rFonts w:ascii="Calibri" w:hAnsi="Calibri" w:cs="Calibri"/>
                <w:szCs w:val="24"/>
              </w:rPr>
            </w:pPr>
            <w:r w:rsidRPr="00AB531D">
              <w:rPr>
                <w:rFonts w:ascii="Calibri" w:hAnsi="Calibri" w:cs="Calibri"/>
                <w:szCs w:val="24"/>
              </w:rPr>
              <w:t>business’ turnover and balance sheet footings are less than £2m; and</w:t>
            </w:r>
          </w:p>
          <w:p w14:paraId="1F650944" w14:textId="05B1A20D" w:rsidR="002C4153" w:rsidRPr="00BF714F" w:rsidRDefault="002C4153" w:rsidP="00EF6C58">
            <w:pPr>
              <w:pStyle w:val="ListParagraph"/>
              <w:numPr>
                <w:ilvl w:val="1"/>
                <w:numId w:val="56"/>
              </w:numPr>
              <w:autoSpaceDE w:val="0"/>
              <w:autoSpaceDN w:val="0"/>
              <w:adjustRightInd w:val="0"/>
              <w:jc w:val="both"/>
              <w:rPr>
                <w:rFonts w:ascii="Calibri" w:hAnsi="Calibri" w:cs="Calibri"/>
                <w:szCs w:val="24"/>
              </w:rPr>
            </w:pPr>
            <w:r w:rsidRPr="00AB531D">
              <w:rPr>
                <w:rFonts w:ascii="Calibri" w:hAnsi="Calibri" w:cs="Calibri"/>
                <w:szCs w:val="24"/>
              </w:rPr>
              <w:t>the maximum aggregated retail exposure to the business does not exceed an absolute threshold of £750,000.</w:t>
            </w:r>
          </w:p>
          <w:p w14:paraId="02212968" w14:textId="77777777" w:rsidR="002C4153" w:rsidRDefault="002C4153" w:rsidP="00EF6C58">
            <w:pPr>
              <w:autoSpaceDE w:val="0"/>
              <w:autoSpaceDN w:val="0"/>
              <w:adjustRightInd w:val="0"/>
              <w:ind w:left="1080"/>
              <w:jc w:val="both"/>
              <w:rPr>
                <w:rFonts w:ascii="Calibri" w:hAnsi="Calibri" w:cs="Calibri"/>
                <w:szCs w:val="24"/>
              </w:rPr>
            </w:pPr>
            <w:r w:rsidRPr="00AB531D">
              <w:rPr>
                <w:rFonts w:ascii="Calibri" w:hAnsi="Calibri" w:cs="Calibri"/>
                <w:szCs w:val="24"/>
              </w:rPr>
              <w:t>Or,</w:t>
            </w:r>
          </w:p>
          <w:p w14:paraId="4D3E3AFF" w14:textId="77777777" w:rsidR="002C4153" w:rsidRPr="00AB531D" w:rsidRDefault="002C4153" w:rsidP="00EF6C58">
            <w:pPr>
              <w:autoSpaceDE w:val="0"/>
              <w:autoSpaceDN w:val="0"/>
              <w:adjustRightInd w:val="0"/>
              <w:jc w:val="both"/>
              <w:rPr>
                <w:rFonts w:ascii="Calibri" w:hAnsi="Calibri" w:cs="Calibri"/>
                <w:szCs w:val="24"/>
              </w:rPr>
            </w:pPr>
          </w:p>
          <w:p w14:paraId="676A15AA" w14:textId="77777777" w:rsidR="002C4153" w:rsidRDefault="002C4153" w:rsidP="00EF6C58">
            <w:pPr>
              <w:pStyle w:val="ListParagraph"/>
              <w:numPr>
                <w:ilvl w:val="0"/>
                <w:numId w:val="56"/>
              </w:numPr>
              <w:autoSpaceDE w:val="0"/>
              <w:autoSpaceDN w:val="0"/>
              <w:adjustRightInd w:val="0"/>
              <w:jc w:val="both"/>
              <w:rPr>
                <w:rFonts w:ascii="Calibri" w:hAnsi="Calibri" w:cs="Calibri"/>
                <w:szCs w:val="24"/>
              </w:rPr>
            </w:pPr>
            <w:r w:rsidRPr="00AB531D">
              <w:rPr>
                <w:rFonts w:ascii="Calibri" w:hAnsi="Calibri" w:cs="Calibri"/>
                <w:szCs w:val="24"/>
              </w:rPr>
              <w:t>the business does not borrow from the bank, but its deposits are managed as retail deposits</w:t>
            </w:r>
            <w:r>
              <w:rPr>
                <w:rFonts w:ascii="Calibri" w:hAnsi="Calibri" w:cs="Calibri"/>
                <w:szCs w:val="24"/>
              </w:rPr>
              <w:t>. This means that the bank treats such deposits in its internal risk management systems consistently over time and in the same manner as other retail deposits, and that the deposits are not individually managed in a way comparable to larger corporate deposits.</w:t>
            </w:r>
          </w:p>
          <w:p w14:paraId="6BCE011C" w14:textId="77777777" w:rsidR="002C4153" w:rsidRPr="00AB531D" w:rsidRDefault="002C4153" w:rsidP="00EF6C58">
            <w:pPr>
              <w:pStyle w:val="ListParagraph"/>
              <w:autoSpaceDE w:val="0"/>
              <w:autoSpaceDN w:val="0"/>
              <w:adjustRightInd w:val="0"/>
              <w:ind w:left="1080"/>
              <w:jc w:val="both"/>
              <w:rPr>
                <w:rFonts w:ascii="Calibri" w:hAnsi="Calibri" w:cs="Calibri"/>
                <w:szCs w:val="24"/>
              </w:rPr>
            </w:pPr>
          </w:p>
          <w:p w14:paraId="4B7B0740" w14:textId="4B559318" w:rsidR="002859F3" w:rsidRPr="00CA0214" w:rsidRDefault="002C4153" w:rsidP="002859F3">
            <w:pPr>
              <w:pStyle w:val="ListParagraph"/>
              <w:numPr>
                <w:ilvl w:val="0"/>
                <w:numId w:val="56"/>
              </w:numPr>
              <w:autoSpaceDE w:val="0"/>
              <w:autoSpaceDN w:val="0"/>
              <w:adjustRightInd w:val="0"/>
              <w:jc w:val="both"/>
              <w:rPr>
                <w:rFonts w:ascii="Calibri" w:hAnsi="Calibri" w:cs="Calibri"/>
                <w:szCs w:val="24"/>
              </w:rPr>
            </w:pPr>
            <w:r>
              <w:rPr>
                <w:rFonts w:ascii="Calibri" w:hAnsi="Calibri" w:cs="Calibri"/>
                <w:szCs w:val="24"/>
              </w:rPr>
              <w:t>I</w:t>
            </w:r>
            <w:r w:rsidRPr="00AB531D">
              <w:rPr>
                <w:rFonts w:ascii="Calibri" w:hAnsi="Calibri" w:cs="Calibri"/>
                <w:szCs w:val="24"/>
              </w:rPr>
              <w:t>n both cases</w:t>
            </w:r>
            <w:r>
              <w:rPr>
                <w:rFonts w:ascii="Calibri" w:hAnsi="Calibri" w:cs="Calibri"/>
                <w:szCs w:val="24"/>
              </w:rPr>
              <w:t xml:space="preserve"> (</w:t>
            </w:r>
            <w:proofErr w:type="spellStart"/>
            <w:r>
              <w:rPr>
                <w:rFonts w:ascii="Calibri" w:hAnsi="Calibri" w:cs="Calibri"/>
                <w:szCs w:val="24"/>
              </w:rPr>
              <w:t>i</w:t>
            </w:r>
            <w:proofErr w:type="spellEnd"/>
            <w:r w:rsidRPr="00AB531D">
              <w:rPr>
                <w:rFonts w:ascii="Calibri" w:hAnsi="Calibri" w:cs="Calibri"/>
                <w:szCs w:val="24"/>
              </w:rPr>
              <w:t>)</w:t>
            </w:r>
            <w:r>
              <w:rPr>
                <w:rFonts w:ascii="Calibri" w:hAnsi="Calibri" w:cs="Calibri"/>
                <w:szCs w:val="24"/>
              </w:rPr>
              <w:t xml:space="preserve"> and (ii),</w:t>
            </w:r>
            <w:r w:rsidRPr="00AB531D">
              <w:rPr>
                <w:rFonts w:ascii="Calibri" w:hAnsi="Calibri" w:cs="Calibri"/>
                <w:szCs w:val="24"/>
              </w:rPr>
              <w:t xml:space="preserve"> the total aggregated funding raised from any one business or group of connected businesses </w:t>
            </w:r>
            <w:r w:rsidR="00E55C47">
              <w:rPr>
                <w:rFonts w:ascii="Calibri" w:hAnsi="Calibri" w:cs="Calibri"/>
                <w:szCs w:val="24"/>
              </w:rPr>
              <w:t xml:space="preserve">should </w:t>
            </w:r>
            <w:r w:rsidRPr="00AB531D">
              <w:rPr>
                <w:rFonts w:ascii="Calibri" w:hAnsi="Calibri" w:cs="Calibri"/>
                <w:szCs w:val="24"/>
              </w:rPr>
              <w:t xml:space="preserve">not exceed </w:t>
            </w:r>
            <w:r w:rsidRPr="00E55C47">
              <w:rPr>
                <w:rFonts w:ascii="Calibri" w:hAnsi="Calibri" w:cs="Calibri"/>
                <w:szCs w:val="24"/>
              </w:rPr>
              <w:t>£750,000 (on a consolidated basis where applicable).</w:t>
            </w:r>
          </w:p>
        </w:tc>
      </w:tr>
      <w:tr w:rsidR="00EC0C92" w14:paraId="71FFC556" w14:textId="77777777" w:rsidTr="002C4153">
        <w:tc>
          <w:tcPr>
            <w:tcW w:w="2263" w:type="dxa"/>
          </w:tcPr>
          <w:p w14:paraId="11F44D79" w14:textId="274F81F4" w:rsidR="00EC0C92" w:rsidRPr="00111AC6" w:rsidRDefault="002C4153" w:rsidP="00374149">
            <w:pPr>
              <w:contextualSpacing/>
              <w:rPr>
                <w:rFonts w:ascii="Calibri" w:hAnsi="Calibri" w:cs="Calibri"/>
                <w:b/>
                <w:bCs/>
                <w:szCs w:val="24"/>
              </w:rPr>
            </w:pPr>
            <w:r w:rsidRPr="00111AC6">
              <w:rPr>
                <w:rFonts w:ascii="Calibri" w:hAnsi="Calibri" w:cs="Calibri"/>
                <w:b/>
                <w:bCs/>
                <w:szCs w:val="24"/>
              </w:rPr>
              <w:lastRenderedPageBreak/>
              <w:t>Sound Principles</w:t>
            </w:r>
          </w:p>
        </w:tc>
        <w:tc>
          <w:tcPr>
            <w:tcW w:w="6753" w:type="dxa"/>
          </w:tcPr>
          <w:p w14:paraId="5DD6A2D2" w14:textId="3A2705D8" w:rsidR="00EC0C92" w:rsidRDefault="003D0777" w:rsidP="003D0777">
            <w:pPr>
              <w:contextualSpacing/>
              <w:jc w:val="both"/>
              <w:rPr>
                <w:rFonts w:ascii="Calibri" w:hAnsi="Calibri" w:cs="Calibri"/>
                <w:szCs w:val="24"/>
              </w:rPr>
            </w:pPr>
            <w:r>
              <w:rPr>
                <w:rFonts w:ascii="Calibri" w:hAnsi="Calibri" w:cs="Calibri"/>
                <w:szCs w:val="24"/>
              </w:rPr>
              <w:t>R</w:t>
            </w:r>
            <w:r w:rsidR="002C4153">
              <w:rPr>
                <w:rFonts w:ascii="Calibri" w:hAnsi="Calibri" w:cs="Calibri"/>
                <w:szCs w:val="24"/>
              </w:rPr>
              <w:t xml:space="preserve">efers to the </w:t>
            </w:r>
            <w:r w:rsidR="0041162D" w:rsidRPr="0041162D">
              <w:rPr>
                <w:rFonts w:ascii="Calibri" w:hAnsi="Calibri" w:cs="Calibri"/>
                <w:szCs w:val="24"/>
              </w:rPr>
              <w:t>“Principles for Sound Liquidity Risk Management and Supervision”</w:t>
            </w:r>
            <w:r w:rsidR="002C4153">
              <w:rPr>
                <w:rFonts w:ascii="Calibri" w:hAnsi="Calibri" w:cs="Calibri"/>
                <w:szCs w:val="24"/>
              </w:rPr>
              <w:t xml:space="preserve"> published in 2008 by the Basel Committee on Banking Supervision (BCBS).</w:t>
            </w:r>
          </w:p>
          <w:p w14:paraId="544B7ECF" w14:textId="77777777" w:rsidR="0041162D" w:rsidRDefault="0041162D" w:rsidP="003D0777">
            <w:pPr>
              <w:contextualSpacing/>
              <w:jc w:val="both"/>
              <w:rPr>
                <w:rFonts w:ascii="Calibri" w:hAnsi="Calibri" w:cs="Calibri"/>
                <w:szCs w:val="24"/>
              </w:rPr>
            </w:pPr>
          </w:p>
          <w:p w14:paraId="03543F6D" w14:textId="77777777" w:rsidR="0041162D" w:rsidRDefault="0041162D" w:rsidP="003D0777">
            <w:pPr>
              <w:contextualSpacing/>
              <w:jc w:val="both"/>
              <w:rPr>
                <w:rFonts w:ascii="Calibri" w:hAnsi="Calibri" w:cs="Calibri"/>
                <w:szCs w:val="24"/>
              </w:rPr>
            </w:pPr>
            <w:r>
              <w:rPr>
                <w:rFonts w:ascii="Calibri" w:hAnsi="Calibri" w:cs="Calibri"/>
                <w:szCs w:val="24"/>
              </w:rPr>
              <w:t>The Sound Principles can be found at:</w:t>
            </w:r>
          </w:p>
          <w:p w14:paraId="713A3C9B" w14:textId="77777777" w:rsidR="0041162D" w:rsidRDefault="000E4FFC" w:rsidP="003D0777">
            <w:pPr>
              <w:contextualSpacing/>
              <w:jc w:val="both"/>
              <w:rPr>
                <w:rFonts w:ascii="Calibri" w:hAnsi="Calibri" w:cs="Calibri"/>
                <w:b/>
                <w:bCs/>
                <w:szCs w:val="24"/>
              </w:rPr>
            </w:pPr>
            <w:hyperlink r:id="rId16" w:history="1">
              <w:r w:rsidRPr="00E9312F">
                <w:rPr>
                  <w:rStyle w:val="Hyperlink"/>
                  <w:rFonts w:ascii="Calibri" w:hAnsi="Calibri" w:cs="Calibri"/>
                  <w:b/>
                  <w:bCs/>
                  <w:szCs w:val="24"/>
                </w:rPr>
                <w:t>https://www.bis.org/publ/bcbs144.htm</w:t>
              </w:r>
            </w:hyperlink>
            <w:r w:rsidRPr="00E9312F">
              <w:rPr>
                <w:rFonts w:ascii="Calibri" w:hAnsi="Calibri" w:cs="Calibri"/>
                <w:b/>
                <w:bCs/>
                <w:szCs w:val="24"/>
              </w:rPr>
              <w:t xml:space="preserve"> </w:t>
            </w:r>
          </w:p>
          <w:p w14:paraId="644CD121" w14:textId="076818DF" w:rsidR="002859F3" w:rsidRPr="00E9312F" w:rsidRDefault="002859F3" w:rsidP="003D0777">
            <w:pPr>
              <w:contextualSpacing/>
              <w:jc w:val="both"/>
              <w:rPr>
                <w:rFonts w:ascii="Calibri" w:hAnsi="Calibri" w:cs="Calibri"/>
                <w:b/>
                <w:bCs/>
                <w:szCs w:val="24"/>
              </w:rPr>
            </w:pPr>
          </w:p>
        </w:tc>
      </w:tr>
      <w:tr w:rsidR="00EC0C92" w14:paraId="533620BD" w14:textId="77777777" w:rsidTr="002C4153">
        <w:tc>
          <w:tcPr>
            <w:tcW w:w="2263" w:type="dxa"/>
          </w:tcPr>
          <w:p w14:paraId="4CB45795" w14:textId="77777777" w:rsidR="002C4153" w:rsidRPr="00111AC6" w:rsidRDefault="002C4153" w:rsidP="002C4153">
            <w:pPr>
              <w:contextualSpacing/>
              <w:rPr>
                <w:rFonts w:ascii="Calibri" w:hAnsi="Calibri" w:cs="Calibri"/>
                <w:b/>
                <w:bCs/>
                <w:szCs w:val="24"/>
              </w:rPr>
            </w:pPr>
            <w:r w:rsidRPr="00111AC6">
              <w:rPr>
                <w:rFonts w:ascii="Calibri" w:hAnsi="Calibri" w:cs="Calibri"/>
                <w:b/>
                <w:bCs/>
                <w:szCs w:val="24"/>
              </w:rPr>
              <w:t>Standardised approach to credit risk</w:t>
            </w:r>
          </w:p>
          <w:p w14:paraId="4618A98C" w14:textId="77777777" w:rsidR="00EC0C92" w:rsidRPr="00111AC6" w:rsidRDefault="00EC0C92" w:rsidP="00374149">
            <w:pPr>
              <w:contextualSpacing/>
              <w:rPr>
                <w:rFonts w:ascii="Calibri" w:hAnsi="Calibri" w:cs="Calibri"/>
                <w:b/>
                <w:bCs/>
                <w:szCs w:val="24"/>
              </w:rPr>
            </w:pPr>
          </w:p>
        </w:tc>
        <w:tc>
          <w:tcPr>
            <w:tcW w:w="6753" w:type="dxa"/>
          </w:tcPr>
          <w:p w14:paraId="3B2D4829" w14:textId="2CF8D404" w:rsidR="002859F3" w:rsidRDefault="002C4153" w:rsidP="003D0777">
            <w:pPr>
              <w:contextualSpacing/>
              <w:jc w:val="both"/>
              <w:rPr>
                <w:rFonts w:ascii="Calibri" w:hAnsi="Calibri" w:cs="Calibri"/>
                <w:szCs w:val="24"/>
              </w:rPr>
            </w:pPr>
            <w:r>
              <w:rPr>
                <w:rFonts w:ascii="Calibri" w:hAnsi="Calibri" w:cs="Calibri"/>
                <w:szCs w:val="24"/>
              </w:rPr>
              <w:t>The Isle of Man’s standardised approach to credit risk, including the simplified standardised approach to credit risk</w:t>
            </w:r>
            <w:r w:rsidR="003D0777">
              <w:rPr>
                <w:rFonts w:ascii="Calibri" w:hAnsi="Calibri" w:cs="Calibri"/>
                <w:szCs w:val="24"/>
              </w:rPr>
              <w:t>,</w:t>
            </w:r>
            <w:r>
              <w:rPr>
                <w:rFonts w:ascii="Calibri" w:hAnsi="Calibri" w:cs="Calibri"/>
                <w:szCs w:val="24"/>
              </w:rPr>
              <w:t xml:space="preserve"> is </w:t>
            </w:r>
            <w:r w:rsidRPr="00CB0579">
              <w:rPr>
                <w:rFonts w:ascii="Calibri" w:hAnsi="Calibri" w:cs="Calibri"/>
                <w:szCs w:val="24"/>
              </w:rPr>
              <w:t xml:space="preserve">detailed in </w:t>
            </w:r>
            <w:r w:rsidR="00BF714F">
              <w:rPr>
                <w:rFonts w:ascii="Calibri" w:hAnsi="Calibri" w:cs="Calibri"/>
                <w:szCs w:val="24"/>
              </w:rPr>
              <w:t xml:space="preserve">the </w:t>
            </w:r>
            <w:hyperlink r:id="rId17" w:history="1">
              <w:r w:rsidR="0041162D" w:rsidRPr="0041162D">
                <w:rPr>
                  <w:rStyle w:val="Hyperlink"/>
                  <w:rFonts w:ascii="Calibri" w:hAnsi="Calibri" w:cs="Calibri"/>
                  <w:szCs w:val="24"/>
                </w:rPr>
                <w:t>“</w:t>
              </w:r>
              <w:r w:rsidRPr="00E9312F">
                <w:rPr>
                  <w:rStyle w:val="Hyperlink"/>
                  <w:rFonts w:ascii="Calibri" w:hAnsi="Calibri" w:cs="Calibri"/>
                  <w:b/>
                  <w:bCs/>
                  <w:i/>
                  <w:iCs/>
                  <w:szCs w:val="24"/>
                </w:rPr>
                <w:t>Guidance Note for Deposit Takers, Quarterly Prudential Returns</w:t>
              </w:r>
              <w:r w:rsidR="0041162D" w:rsidRPr="0041162D">
                <w:rPr>
                  <w:rStyle w:val="Hyperlink"/>
                  <w:rFonts w:ascii="Calibri" w:hAnsi="Calibri" w:cs="Calibri"/>
                  <w:szCs w:val="24"/>
                </w:rPr>
                <w:t>”</w:t>
              </w:r>
            </w:hyperlink>
            <w:r w:rsidRPr="00CB0579">
              <w:rPr>
                <w:rFonts w:ascii="Calibri" w:hAnsi="Calibri" w:cs="Calibri"/>
                <w:szCs w:val="24"/>
              </w:rPr>
              <w:t xml:space="preserve"> issued October 2017</w:t>
            </w:r>
            <w:r>
              <w:rPr>
                <w:rFonts w:ascii="Calibri" w:hAnsi="Calibri" w:cs="Calibri"/>
                <w:szCs w:val="24"/>
              </w:rPr>
              <w:t xml:space="preserve"> in respect of Form SR-1B.</w:t>
            </w:r>
          </w:p>
        </w:tc>
      </w:tr>
    </w:tbl>
    <w:p w14:paraId="540E737C" w14:textId="451F43B0" w:rsidR="005401E4" w:rsidRDefault="005401E4" w:rsidP="00E14E93"/>
    <w:p w14:paraId="5B74987E" w14:textId="77777777" w:rsidR="005401E4" w:rsidRDefault="005401E4">
      <w:r>
        <w:br w:type="page"/>
      </w:r>
    </w:p>
    <w:p w14:paraId="0FC0E255" w14:textId="41DCF0CB" w:rsidR="00E14E93" w:rsidRPr="00E14E93" w:rsidRDefault="007C3CE4" w:rsidP="00E14E93">
      <w:pPr>
        <w:pStyle w:val="Heading1"/>
        <w:numPr>
          <w:ilvl w:val="0"/>
          <w:numId w:val="7"/>
        </w:numPr>
        <w:rPr>
          <w:color w:val="005782"/>
        </w:rPr>
      </w:pPr>
      <w:bookmarkStart w:id="5" w:name="_Toc201849532"/>
      <w:r>
        <w:rPr>
          <w:color w:val="005782"/>
        </w:rPr>
        <w:lastRenderedPageBreak/>
        <w:t xml:space="preserve">Introduction of the </w:t>
      </w:r>
      <w:r w:rsidR="00C657C7">
        <w:rPr>
          <w:color w:val="005782"/>
        </w:rPr>
        <w:t>Net Stable Funding Ratio</w:t>
      </w:r>
      <w:r w:rsidR="00DC6571">
        <w:rPr>
          <w:color w:val="005782"/>
        </w:rPr>
        <w:t xml:space="preserve"> (</w:t>
      </w:r>
      <w:r w:rsidR="00C657C7">
        <w:rPr>
          <w:color w:val="005782"/>
        </w:rPr>
        <w:t>NSFR</w:t>
      </w:r>
      <w:r w:rsidR="00DC6571">
        <w:rPr>
          <w:color w:val="005782"/>
        </w:rPr>
        <w:t>)</w:t>
      </w:r>
      <w:bookmarkEnd w:id="5"/>
    </w:p>
    <w:p w14:paraId="0484B8CA" w14:textId="66BDB025" w:rsidR="00C657C7" w:rsidRPr="00C657C7" w:rsidRDefault="00C657C7" w:rsidP="00E14E93">
      <w:pPr>
        <w:jc w:val="both"/>
        <w:rPr>
          <w:rFonts w:ascii="Calibri" w:hAnsi="Calibri" w:cs="Calibri"/>
          <w:szCs w:val="24"/>
        </w:rPr>
      </w:pPr>
      <w:r w:rsidRPr="00C657C7">
        <w:rPr>
          <w:rFonts w:ascii="Calibri" w:hAnsi="Calibri" w:cs="Calibri"/>
          <w:szCs w:val="24"/>
        </w:rPr>
        <w:t xml:space="preserve">The NSFR is one of two minimum standards </w:t>
      </w:r>
      <w:r w:rsidR="00890DE5">
        <w:rPr>
          <w:rFonts w:ascii="Calibri" w:hAnsi="Calibri" w:cs="Calibri"/>
          <w:szCs w:val="24"/>
        </w:rPr>
        <w:t xml:space="preserve">(the other being the LCR) </w:t>
      </w:r>
      <w:r w:rsidRPr="00C657C7">
        <w:rPr>
          <w:rFonts w:ascii="Calibri" w:hAnsi="Calibri" w:cs="Calibri"/>
          <w:szCs w:val="24"/>
        </w:rPr>
        <w:t xml:space="preserve">for funding and liquidity with the specific objective of reducing funding risk over a one-year time horizon by requiring banks to fund their activities with sufficiently stable sources of funding </w:t>
      </w:r>
      <w:proofErr w:type="gramStart"/>
      <w:r w:rsidRPr="00C657C7">
        <w:rPr>
          <w:rFonts w:ascii="Calibri" w:hAnsi="Calibri" w:cs="Calibri"/>
          <w:szCs w:val="24"/>
        </w:rPr>
        <w:t>in order to</w:t>
      </w:r>
      <w:proofErr w:type="gramEnd"/>
      <w:r w:rsidRPr="00C657C7">
        <w:rPr>
          <w:rFonts w:ascii="Calibri" w:hAnsi="Calibri" w:cs="Calibri"/>
          <w:szCs w:val="24"/>
        </w:rPr>
        <w:t xml:space="preserve"> mitigate the risk of future funding stress. Banks are expected to meet the minimum requirements of the NSFR as well as adhere to the Sound Principles.</w:t>
      </w:r>
    </w:p>
    <w:p w14:paraId="72B1D4C1" w14:textId="77777777" w:rsidR="00C657C7" w:rsidRPr="00C657C7" w:rsidRDefault="00C657C7" w:rsidP="00C657C7">
      <w:pPr>
        <w:rPr>
          <w:rFonts w:ascii="Calibri" w:hAnsi="Calibri" w:cs="Calibri"/>
          <w:szCs w:val="24"/>
        </w:rPr>
      </w:pPr>
    </w:p>
    <w:p w14:paraId="2B3BD2DF" w14:textId="2AAAD698" w:rsidR="00C657C7" w:rsidRPr="00057553" w:rsidRDefault="00C657C7" w:rsidP="00057553">
      <w:pPr>
        <w:jc w:val="both"/>
        <w:rPr>
          <w:rFonts w:ascii="Calibri" w:hAnsi="Calibri" w:cs="Calibri"/>
          <w:szCs w:val="24"/>
        </w:rPr>
      </w:pPr>
      <w:r w:rsidRPr="00057553">
        <w:rPr>
          <w:rFonts w:ascii="Calibri" w:hAnsi="Calibri" w:cs="Calibri"/>
          <w:szCs w:val="24"/>
        </w:rPr>
        <w:t xml:space="preserve">The </w:t>
      </w:r>
      <w:r w:rsidR="00890DE5">
        <w:rPr>
          <w:rFonts w:ascii="Calibri" w:hAnsi="Calibri" w:cs="Calibri"/>
          <w:szCs w:val="24"/>
        </w:rPr>
        <w:t>Basel Committee on Banking Supervision (</w:t>
      </w:r>
      <w:r w:rsidRPr="00057553">
        <w:rPr>
          <w:rFonts w:ascii="Calibri" w:hAnsi="Calibri" w:cs="Calibri"/>
          <w:szCs w:val="24"/>
        </w:rPr>
        <w:t>BCBS</w:t>
      </w:r>
      <w:r w:rsidR="00890DE5">
        <w:rPr>
          <w:rFonts w:ascii="Calibri" w:hAnsi="Calibri" w:cs="Calibri"/>
          <w:szCs w:val="24"/>
        </w:rPr>
        <w:t>)</w:t>
      </w:r>
      <w:r w:rsidRPr="00057553">
        <w:rPr>
          <w:rFonts w:ascii="Calibri" w:hAnsi="Calibri" w:cs="Calibri"/>
          <w:szCs w:val="24"/>
        </w:rPr>
        <w:t xml:space="preserve"> also developed a set of liquidity risk monitoring tools to measure other dimensions of a bank’s liquidity and funding risk profile. These tools promote global consistency in supervising ongoing liquidity and funding risk exposures of banks, and in communicating these exposures </w:t>
      </w:r>
      <w:r w:rsidR="00D667E0">
        <w:rPr>
          <w:rFonts w:ascii="Calibri" w:hAnsi="Calibri" w:cs="Calibri"/>
          <w:szCs w:val="24"/>
        </w:rPr>
        <w:t>among</w:t>
      </w:r>
      <w:r w:rsidR="00D667E0" w:rsidRPr="00057553">
        <w:rPr>
          <w:rFonts w:ascii="Calibri" w:hAnsi="Calibri" w:cs="Calibri"/>
          <w:szCs w:val="24"/>
        </w:rPr>
        <w:t xml:space="preserve"> </w:t>
      </w:r>
      <w:r w:rsidRPr="00057553">
        <w:rPr>
          <w:rFonts w:ascii="Calibri" w:hAnsi="Calibri" w:cs="Calibri"/>
          <w:szCs w:val="24"/>
        </w:rPr>
        <w:t xml:space="preserve">home and host supervisors. These tools are supplementary to both the LCR and the NSFR and are not covered in this </w:t>
      </w:r>
      <w:r w:rsidR="00890DE5">
        <w:rPr>
          <w:rFonts w:ascii="Calibri" w:hAnsi="Calibri" w:cs="Calibri"/>
          <w:szCs w:val="24"/>
        </w:rPr>
        <w:t>document</w:t>
      </w:r>
      <w:r w:rsidRPr="00057553">
        <w:rPr>
          <w:rFonts w:ascii="Calibri" w:hAnsi="Calibri" w:cs="Calibri"/>
          <w:szCs w:val="24"/>
        </w:rPr>
        <w:t xml:space="preserve">. However, the contractual maturity mismatch metric, particularly the elements that </w:t>
      </w:r>
      <w:proofErr w:type="gramStart"/>
      <w:r w:rsidRPr="00057553">
        <w:rPr>
          <w:rFonts w:ascii="Calibri" w:hAnsi="Calibri" w:cs="Calibri"/>
          <w:szCs w:val="24"/>
        </w:rPr>
        <w:t>take into account</w:t>
      </w:r>
      <w:proofErr w:type="gramEnd"/>
      <w:r w:rsidRPr="00057553">
        <w:rPr>
          <w:rFonts w:ascii="Calibri" w:hAnsi="Calibri" w:cs="Calibri"/>
          <w:szCs w:val="24"/>
        </w:rPr>
        <w:t xml:space="preserve"> assets and liabilities with residual maturity of more than one year, should be considered as a valuable monitoring tool to complement the NSFR.</w:t>
      </w:r>
    </w:p>
    <w:p w14:paraId="31157813" w14:textId="77777777" w:rsidR="00C657C7" w:rsidRPr="00C657C7" w:rsidRDefault="00C657C7" w:rsidP="00890DE5">
      <w:pPr>
        <w:pStyle w:val="ListParagraph"/>
        <w:ind w:left="360"/>
        <w:rPr>
          <w:rFonts w:ascii="Calibri" w:hAnsi="Calibri" w:cs="Calibri"/>
          <w:szCs w:val="24"/>
        </w:rPr>
      </w:pPr>
    </w:p>
    <w:p w14:paraId="1FAC3A2F" w14:textId="019B2D5B" w:rsidR="00C657C7" w:rsidRPr="00890DE5" w:rsidRDefault="00C657C7" w:rsidP="00EF6C58">
      <w:pPr>
        <w:jc w:val="both"/>
        <w:rPr>
          <w:rFonts w:ascii="Calibri" w:hAnsi="Calibri" w:cs="Calibri"/>
          <w:szCs w:val="24"/>
        </w:rPr>
      </w:pPr>
      <w:r w:rsidRPr="00890DE5">
        <w:rPr>
          <w:rFonts w:ascii="Calibri" w:hAnsi="Calibri" w:cs="Calibri"/>
          <w:szCs w:val="24"/>
        </w:rPr>
        <w:t xml:space="preserve">Unless otherwise specified, the NSFR definitions mirror those in the </w:t>
      </w:r>
      <w:r w:rsidR="00EF6C58">
        <w:rPr>
          <w:rFonts w:ascii="Calibri" w:hAnsi="Calibri" w:cs="Calibri"/>
          <w:szCs w:val="24"/>
        </w:rPr>
        <w:t>LCR Reporting Form Guidance.</w:t>
      </w:r>
    </w:p>
    <w:p w14:paraId="00752BBC" w14:textId="77777777" w:rsidR="00374149" w:rsidRPr="004661AA" w:rsidRDefault="00374149" w:rsidP="00374149">
      <w:pPr>
        <w:contextualSpacing/>
        <w:rPr>
          <w:rFonts w:ascii="Calibri" w:hAnsi="Calibri" w:cs="Calibri"/>
          <w:szCs w:val="24"/>
          <w:highlight w:val="yellow"/>
        </w:rPr>
      </w:pPr>
    </w:p>
    <w:p w14:paraId="2A1B8E49" w14:textId="1CE548DE" w:rsidR="00374149" w:rsidRDefault="00374149" w:rsidP="0014366C">
      <w:pPr>
        <w:contextualSpacing/>
        <w:jc w:val="both"/>
        <w:rPr>
          <w:rFonts w:ascii="Calibri" w:hAnsi="Calibri" w:cs="Calibri"/>
          <w:szCs w:val="24"/>
        </w:rPr>
      </w:pPr>
      <w:r w:rsidRPr="0014366C">
        <w:rPr>
          <w:rFonts w:ascii="Calibri" w:hAnsi="Calibri" w:cs="Calibri"/>
          <w:szCs w:val="24"/>
        </w:rPr>
        <w:t xml:space="preserve">The Authority may impose any other liquidity measure considered appropriate to deal with the liquidity risk of a particular bank (on an individual or consolidated basis), or of the banking </w:t>
      </w:r>
      <w:proofErr w:type="gramStart"/>
      <w:r w:rsidRPr="0014366C">
        <w:rPr>
          <w:rFonts w:ascii="Calibri" w:hAnsi="Calibri" w:cs="Calibri"/>
          <w:szCs w:val="24"/>
        </w:rPr>
        <w:t>sector as a whole</w:t>
      </w:r>
      <w:proofErr w:type="gramEnd"/>
      <w:r w:rsidRPr="0014366C">
        <w:rPr>
          <w:rFonts w:ascii="Calibri" w:hAnsi="Calibri" w:cs="Calibri"/>
          <w:szCs w:val="24"/>
        </w:rPr>
        <w:t xml:space="preserve">. </w:t>
      </w:r>
    </w:p>
    <w:p w14:paraId="0C012F7E" w14:textId="77777777" w:rsidR="00374149" w:rsidRDefault="00374149" w:rsidP="00374149">
      <w:pPr>
        <w:contextualSpacing/>
        <w:rPr>
          <w:rFonts w:ascii="Calibri" w:hAnsi="Calibri" w:cs="Calibri"/>
          <w:szCs w:val="24"/>
        </w:rPr>
      </w:pPr>
    </w:p>
    <w:p w14:paraId="2487BBBC" w14:textId="02BDC257" w:rsidR="00374149" w:rsidRPr="003D0777" w:rsidRDefault="00E14E93" w:rsidP="00374149">
      <w:pPr>
        <w:contextualSpacing/>
        <w:rPr>
          <w:rFonts w:ascii="Calibri" w:hAnsi="Calibri" w:cs="Calibri"/>
          <w:b/>
          <w:bCs/>
          <w:color w:val="005782"/>
          <w:szCs w:val="24"/>
        </w:rPr>
      </w:pPr>
      <w:r>
        <w:rPr>
          <w:rFonts w:ascii="Calibri" w:hAnsi="Calibri" w:cs="Calibri"/>
          <w:b/>
          <w:bCs/>
          <w:color w:val="005782"/>
          <w:szCs w:val="24"/>
        </w:rPr>
        <w:t>NSFR</w:t>
      </w:r>
      <w:r w:rsidR="00374149" w:rsidRPr="003D0777">
        <w:rPr>
          <w:rFonts w:ascii="Calibri" w:hAnsi="Calibri" w:cs="Calibri"/>
          <w:b/>
          <w:bCs/>
          <w:color w:val="005782"/>
          <w:szCs w:val="24"/>
        </w:rPr>
        <w:t xml:space="preserve"> Minimum Requirements</w:t>
      </w:r>
    </w:p>
    <w:p w14:paraId="770E44EC" w14:textId="19BC0039" w:rsidR="005B66F6" w:rsidRDefault="005B66F6" w:rsidP="005B66F6">
      <w:pPr>
        <w:contextualSpacing/>
        <w:jc w:val="both"/>
        <w:rPr>
          <w:szCs w:val="24"/>
        </w:rPr>
      </w:pPr>
      <w:r w:rsidRPr="005036A8">
        <w:rPr>
          <w:szCs w:val="24"/>
        </w:rPr>
        <w:t>The NSFR requires banks to maintain a stable funding profile in</w:t>
      </w:r>
      <w:r>
        <w:rPr>
          <w:szCs w:val="24"/>
        </w:rPr>
        <w:t xml:space="preserve"> </w:t>
      </w:r>
      <w:r w:rsidRPr="005036A8">
        <w:rPr>
          <w:szCs w:val="24"/>
        </w:rPr>
        <w:t>relation to the composition of their assets and off-balance sheet activities. A sustainable</w:t>
      </w:r>
      <w:r>
        <w:rPr>
          <w:szCs w:val="24"/>
        </w:rPr>
        <w:t xml:space="preserve"> </w:t>
      </w:r>
      <w:r w:rsidRPr="005036A8">
        <w:rPr>
          <w:szCs w:val="24"/>
        </w:rPr>
        <w:t>funding structure is intended to reduce the likelihood that disruptions to a bank’s regular</w:t>
      </w:r>
      <w:r>
        <w:rPr>
          <w:szCs w:val="24"/>
        </w:rPr>
        <w:t xml:space="preserve"> </w:t>
      </w:r>
      <w:r w:rsidRPr="005036A8">
        <w:rPr>
          <w:szCs w:val="24"/>
        </w:rPr>
        <w:t>sources of funding will erode its liquidity position in a way that would increase the risk of its</w:t>
      </w:r>
      <w:r>
        <w:rPr>
          <w:szCs w:val="24"/>
        </w:rPr>
        <w:t xml:space="preserve"> </w:t>
      </w:r>
      <w:r w:rsidRPr="005036A8">
        <w:rPr>
          <w:szCs w:val="24"/>
        </w:rPr>
        <w:t>failure and potentially lead to broader systemic stress. The NSFR limits overreliance on</w:t>
      </w:r>
      <w:r>
        <w:rPr>
          <w:szCs w:val="24"/>
        </w:rPr>
        <w:t xml:space="preserve"> </w:t>
      </w:r>
      <w:r w:rsidRPr="005036A8">
        <w:rPr>
          <w:szCs w:val="24"/>
        </w:rPr>
        <w:t>short-term wholesale funding, encourages better assessment of funding risk across all on</w:t>
      </w:r>
      <w:r>
        <w:rPr>
          <w:szCs w:val="24"/>
        </w:rPr>
        <w:t xml:space="preserve"> </w:t>
      </w:r>
      <w:r w:rsidRPr="005036A8">
        <w:rPr>
          <w:szCs w:val="24"/>
        </w:rPr>
        <w:t>and</w:t>
      </w:r>
      <w:r>
        <w:rPr>
          <w:szCs w:val="24"/>
        </w:rPr>
        <w:t xml:space="preserve"> </w:t>
      </w:r>
      <w:r w:rsidRPr="005036A8">
        <w:rPr>
          <w:szCs w:val="24"/>
        </w:rPr>
        <w:t>off-balance sheet items, and promotes funding stability.</w:t>
      </w:r>
    </w:p>
    <w:p w14:paraId="7976F828" w14:textId="77777777" w:rsidR="005B66F6" w:rsidRPr="005036A8" w:rsidRDefault="005B66F6" w:rsidP="005B66F6">
      <w:pPr>
        <w:contextualSpacing/>
        <w:rPr>
          <w:szCs w:val="24"/>
        </w:rPr>
      </w:pPr>
    </w:p>
    <w:p w14:paraId="641B226C" w14:textId="5261838E" w:rsidR="005B66F6" w:rsidRPr="00D10460" w:rsidRDefault="005B66F6" w:rsidP="005B66F6">
      <w:pPr>
        <w:contextualSpacing/>
        <w:jc w:val="both"/>
        <w:rPr>
          <w:szCs w:val="24"/>
        </w:rPr>
      </w:pPr>
      <w:r w:rsidRPr="005036A8">
        <w:rPr>
          <w:szCs w:val="24"/>
        </w:rPr>
        <w:t>The NSFR is defined as the amount of available stable funding relative to the amount of</w:t>
      </w:r>
      <w:r>
        <w:rPr>
          <w:szCs w:val="24"/>
        </w:rPr>
        <w:t xml:space="preserve"> </w:t>
      </w:r>
      <w:r w:rsidRPr="005036A8">
        <w:rPr>
          <w:szCs w:val="24"/>
        </w:rPr>
        <w:t xml:space="preserve">required stable funding. This ratio </w:t>
      </w:r>
      <w:r>
        <w:rPr>
          <w:szCs w:val="24"/>
        </w:rPr>
        <w:t>should</w:t>
      </w:r>
      <w:r w:rsidRPr="005036A8">
        <w:rPr>
          <w:szCs w:val="24"/>
        </w:rPr>
        <w:t xml:space="preserve"> be equal to at least 100% on an ongoing basis.</w:t>
      </w:r>
      <w:r>
        <w:rPr>
          <w:szCs w:val="24"/>
        </w:rPr>
        <w:t xml:space="preserve"> </w:t>
      </w:r>
      <w:r w:rsidRPr="0012525D">
        <w:rPr>
          <w:rFonts w:ascii="Calibri" w:hAnsi="Calibri" w:cs="Calibri"/>
          <w:szCs w:val="24"/>
        </w:rPr>
        <w:t>The Authority may also impose higher minimum or notification requirements on a bank.</w:t>
      </w:r>
    </w:p>
    <w:p w14:paraId="000467DF" w14:textId="77777777" w:rsidR="005B66F6" w:rsidRDefault="005B66F6" w:rsidP="005B66F6">
      <w:pPr>
        <w:contextualSpacing/>
        <w:rPr>
          <w:szCs w:val="24"/>
        </w:rPr>
      </w:pPr>
    </w:p>
    <w:p w14:paraId="4411994C" w14:textId="77777777" w:rsidR="005B66F6" w:rsidRPr="00D10460" w:rsidRDefault="00000000" w:rsidP="005B66F6">
      <w:pPr>
        <w:contextualSpacing/>
        <w:rPr>
          <w:i/>
          <w:iCs/>
          <w:szCs w:val="24"/>
        </w:rPr>
      </w:pPr>
      <m:oMathPara>
        <m:oMath>
          <m:f>
            <m:fPr>
              <m:ctrlPr>
                <w:rPr>
                  <w:rFonts w:ascii="Cambria Math" w:hAnsi="Cambria Math"/>
                  <w:i/>
                  <w:iCs/>
                  <w:szCs w:val="24"/>
                </w:rPr>
              </m:ctrlPr>
            </m:fPr>
            <m:num>
              <m:r>
                <m:rPr>
                  <m:nor/>
                </m:rPr>
                <w:rPr>
                  <w:rFonts w:ascii="Cambria Math" w:hAnsi="Cambria Math"/>
                  <w:i/>
                  <w:iCs/>
                  <w:szCs w:val="24"/>
                </w:rPr>
                <m:t>Available amount of stable funding</m:t>
              </m:r>
            </m:num>
            <m:den>
              <m:r>
                <m:rPr>
                  <m:nor/>
                </m:rPr>
                <w:rPr>
                  <w:rFonts w:ascii="Cambria Math" w:hAnsi="Cambria Math"/>
                  <w:i/>
                  <w:iCs/>
                  <w:szCs w:val="24"/>
                </w:rPr>
                <m:t>Required amount of stable funding</m:t>
              </m:r>
            </m:den>
          </m:f>
          <m:r>
            <w:rPr>
              <w:rFonts w:ascii="Cambria Math" w:hAnsi="Cambria Math"/>
              <w:szCs w:val="24"/>
            </w:rPr>
            <m:t>≥100%</m:t>
          </m:r>
        </m:oMath>
      </m:oMathPara>
    </w:p>
    <w:p w14:paraId="7232D6CB" w14:textId="77777777" w:rsidR="005B66F6" w:rsidRDefault="005B66F6" w:rsidP="005B66F6">
      <w:pPr>
        <w:contextualSpacing/>
        <w:rPr>
          <w:szCs w:val="24"/>
        </w:rPr>
      </w:pPr>
    </w:p>
    <w:p w14:paraId="23671DD0" w14:textId="5E697064" w:rsidR="005B66F6" w:rsidRPr="00D10460" w:rsidRDefault="005B66F6" w:rsidP="005B66F6">
      <w:pPr>
        <w:contextualSpacing/>
        <w:jc w:val="both"/>
        <w:rPr>
          <w:szCs w:val="24"/>
        </w:rPr>
      </w:pPr>
      <w:r w:rsidRPr="005036A8">
        <w:rPr>
          <w:szCs w:val="24"/>
        </w:rPr>
        <w:t xml:space="preserve">“Available </w:t>
      </w:r>
      <w:r>
        <w:rPr>
          <w:szCs w:val="24"/>
        </w:rPr>
        <w:t>S</w:t>
      </w:r>
      <w:r w:rsidRPr="005036A8">
        <w:rPr>
          <w:szCs w:val="24"/>
        </w:rPr>
        <w:t xml:space="preserve">table </w:t>
      </w:r>
      <w:r>
        <w:rPr>
          <w:szCs w:val="24"/>
        </w:rPr>
        <w:t>F</w:t>
      </w:r>
      <w:r w:rsidRPr="005036A8">
        <w:rPr>
          <w:szCs w:val="24"/>
        </w:rPr>
        <w:t>unding” is defined as the portion of capital and liabilities expected to be</w:t>
      </w:r>
      <w:r>
        <w:rPr>
          <w:szCs w:val="24"/>
        </w:rPr>
        <w:t xml:space="preserve"> </w:t>
      </w:r>
      <w:r w:rsidRPr="005036A8">
        <w:rPr>
          <w:szCs w:val="24"/>
        </w:rPr>
        <w:t>reliable over the one-year time horizon considered by the NSFR.</w:t>
      </w:r>
      <w:r w:rsidRPr="00D10460">
        <w:rPr>
          <w:szCs w:val="24"/>
          <w:highlight w:val="yellow"/>
        </w:rPr>
        <w:t xml:space="preserve"> </w:t>
      </w:r>
    </w:p>
    <w:p w14:paraId="45EF75FA" w14:textId="77777777" w:rsidR="005B66F6" w:rsidRDefault="005B66F6" w:rsidP="005B66F6">
      <w:pPr>
        <w:contextualSpacing/>
        <w:jc w:val="both"/>
        <w:rPr>
          <w:szCs w:val="24"/>
        </w:rPr>
      </w:pPr>
    </w:p>
    <w:p w14:paraId="0E8DC141" w14:textId="705186E1" w:rsidR="005B66F6" w:rsidRPr="00D10460" w:rsidRDefault="005B66F6" w:rsidP="005B66F6">
      <w:pPr>
        <w:contextualSpacing/>
        <w:jc w:val="both"/>
        <w:rPr>
          <w:szCs w:val="24"/>
        </w:rPr>
      </w:pPr>
      <w:r w:rsidRPr="005036A8">
        <w:rPr>
          <w:szCs w:val="24"/>
        </w:rPr>
        <w:t>The amount of stable</w:t>
      </w:r>
      <w:r>
        <w:rPr>
          <w:szCs w:val="24"/>
        </w:rPr>
        <w:t xml:space="preserve"> </w:t>
      </w:r>
      <w:r w:rsidRPr="005036A8">
        <w:rPr>
          <w:szCs w:val="24"/>
        </w:rPr>
        <w:t>funding required ("</w:t>
      </w:r>
      <w:r>
        <w:rPr>
          <w:szCs w:val="24"/>
        </w:rPr>
        <w:t>R</w:t>
      </w:r>
      <w:r w:rsidRPr="005036A8">
        <w:rPr>
          <w:szCs w:val="24"/>
        </w:rPr>
        <w:t xml:space="preserve">equired </w:t>
      </w:r>
      <w:r>
        <w:rPr>
          <w:szCs w:val="24"/>
        </w:rPr>
        <w:t>S</w:t>
      </w:r>
      <w:r w:rsidRPr="005036A8">
        <w:rPr>
          <w:szCs w:val="24"/>
        </w:rPr>
        <w:t xml:space="preserve">table </w:t>
      </w:r>
      <w:r>
        <w:rPr>
          <w:szCs w:val="24"/>
        </w:rPr>
        <w:t>F</w:t>
      </w:r>
      <w:r w:rsidRPr="005036A8">
        <w:rPr>
          <w:szCs w:val="24"/>
        </w:rPr>
        <w:t xml:space="preserve">unding") of </w:t>
      </w:r>
      <w:r>
        <w:rPr>
          <w:szCs w:val="24"/>
        </w:rPr>
        <w:t>a bank</w:t>
      </w:r>
      <w:r w:rsidRPr="005036A8">
        <w:rPr>
          <w:szCs w:val="24"/>
        </w:rPr>
        <w:t xml:space="preserve"> is a function of the liquidity</w:t>
      </w:r>
      <w:r>
        <w:rPr>
          <w:szCs w:val="24"/>
        </w:rPr>
        <w:t xml:space="preserve"> </w:t>
      </w:r>
      <w:r w:rsidRPr="005036A8">
        <w:rPr>
          <w:szCs w:val="24"/>
        </w:rPr>
        <w:t xml:space="preserve">characteristics and residual maturities of the various assets held by that </w:t>
      </w:r>
      <w:r>
        <w:rPr>
          <w:szCs w:val="24"/>
        </w:rPr>
        <w:t xml:space="preserve">bank </w:t>
      </w:r>
      <w:r w:rsidRPr="005036A8">
        <w:rPr>
          <w:szCs w:val="24"/>
        </w:rPr>
        <w:t>as well</w:t>
      </w:r>
      <w:r>
        <w:rPr>
          <w:szCs w:val="24"/>
        </w:rPr>
        <w:t xml:space="preserve"> </w:t>
      </w:r>
      <w:r w:rsidRPr="005036A8">
        <w:rPr>
          <w:szCs w:val="24"/>
        </w:rPr>
        <w:t>as those of its off-balance sheet exposures.</w:t>
      </w:r>
      <w:r w:rsidRPr="00D10460">
        <w:rPr>
          <w:szCs w:val="24"/>
        </w:rPr>
        <w:t xml:space="preserve"> </w:t>
      </w:r>
    </w:p>
    <w:p w14:paraId="4303D846" w14:textId="77777777" w:rsidR="00374149" w:rsidRDefault="00374149" w:rsidP="00374149">
      <w:pPr>
        <w:contextualSpacing/>
        <w:rPr>
          <w:rFonts w:ascii="Calibri" w:hAnsi="Calibri" w:cs="Calibri"/>
          <w:szCs w:val="24"/>
        </w:rPr>
      </w:pPr>
    </w:p>
    <w:p w14:paraId="058CC468" w14:textId="26B5ED85" w:rsidR="00374149" w:rsidRDefault="00374149" w:rsidP="00DC6571">
      <w:pPr>
        <w:contextualSpacing/>
        <w:jc w:val="both"/>
        <w:rPr>
          <w:rFonts w:ascii="Calibri" w:hAnsi="Calibri" w:cs="Calibri"/>
          <w:szCs w:val="24"/>
        </w:rPr>
      </w:pPr>
      <w:r>
        <w:rPr>
          <w:rFonts w:ascii="Calibri" w:hAnsi="Calibri" w:cs="Calibri"/>
          <w:szCs w:val="24"/>
        </w:rPr>
        <w:lastRenderedPageBreak/>
        <w:t>Wher</w:t>
      </w:r>
      <w:r w:rsidR="00DC6571">
        <w:rPr>
          <w:rFonts w:ascii="Calibri" w:hAnsi="Calibri" w:cs="Calibri"/>
          <w:szCs w:val="24"/>
        </w:rPr>
        <w:t>e</w:t>
      </w:r>
      <w:r>
        <w:rPr>
          <w:rFonts w:ascii="Calibri" w:hAnsi="Calibri" w:cs="Calibri"/>
          <w:szCs w:val="24"/>
        </w:rPr>
        <w:t xml:space="preserve"> the bank’s </w:t>
      </w:r>
      <w:r w:rsidR="005B66F6">
        <w:rPr>
          <w:rFonts w:ascii="Calibri" w:hAnsi="Calibri" w:cs="Calibri"/>
          <w:szCs w:val="24"/>
        </w:rPr>
        <w:t xml:space="preserve">NSFR </w:t>
      </w:r>
      <w:r>
        <w:rPr>
          <w:rFonts w:ascii="Calibri" w:hAnsi="Calibri" w:cs="Calibri"/>
          <w:szCs w:val="24"/>
        </w:rPr>
        <w:t>has fallen, or is expected to fall</w:t>
      </w:r>
      <w:r w:rsidR="00DC6571">
        <w:rPr>
          <w:rFonts w:ascii="Calibri" w:hAnsi="Calibri" w:cs="Calibri"/>
          <w:szCs w:val="24"/>
        </w:rPr>
        <w:t>,</w:t>
      </w:r>
      <w:r>
        <w:rPr>
          <w:rFonts w:ascii="Calibri" w:hAnsi="Calibri" w:cs="Calibri"/>
          <w:szCs w:val="24"/>
        </w:rPr>
        <w:t xml:space="preserve"> below 100%</w:t>
      </w:r>
      <w:r w:rsidR="0012525D">
        <w:rPr>
          <w:rFonts w:ascii="Calibri" w:hAnsi="Calibri" w:cs="Calibri"/>
          <w:szCs w:val="24"/>
        </w:rPr>
        <w:t xml:space="preserve"> (or any alternative higher limit the Authority may have set)</w:t>
      </w:r>
      <w:r>
        <w:rPr>
          <w:rFonts w:ascii="Calibri" w:hAnsi="Calibri" w:cs="Calibri"/>
          <w:szCs w:val="24"/>
        </w:rPr>
        <w:t xml:space="preserve">, irrespective of the circumstances, this will be a breach of the </w:t>
      </w:r>
      <w:r w:rsidR="005B66F6">
        <w:rPr>
          <w:rFonts w:ascii="Calibri" w:hAnsi="Calibri" w:cs="Calibri"/>
          <w:szCs w:val="24"/>
        </w:rPr>
        <w:t>NSFR</w:t>
      </w:r>
      <w:r>
        <w:rPr>
          <w:rFonts w:ascii="Calibri" w:hAnsi="Calibri" w:cs="Calibri"/>
          <w:szCs w:val="24"/>
        </w:rPr>
        <w:t xml:space="preserve"> minimum requirement</w:t>
      </w:r>
      <w:r w:rsidR="00650B70">
        <w:rPr>
          <w:rFonts w:ascii="Calibri" w:hAnsi="Calibri" w:cs="Calibri"/>
          <w:szCs w:val="24"/>
        </w:rPr>
        <w:t xml:space="preserve">. </w:t>
      </w:r>
      <w:r w:rsidRPr="00765641">
        <w:rPr>
          <w:rFonts w:ascii="Calibri" w:hAnsi="Calibri" w:cs="Calibri"/>
          <w:szCs w:val="24"/>
        </w:rPr>
        <w:t xml:space="preserve">Banks must notify the Authority immediately as per the relevant reporting requirements at / under the </w:t>
      </w:r>
      <w:r w:rsidR="00765641">
        <w:rPr>
          <w:rFonts w:ascii="Calibri" w:hAnsi="Calibri" w:cs="Calibri"/>
          <w:szCs w:val="24"/>
          <w:highlight w:val="cyan"/>
        </w:rPr>
        <w:t>[insert applicable references to rules or directions]</w:t>
      </w:r>
      <w:r w:rsidR="00765641">
        <w:rPr>
          <w:rFonts w:ascii="Calibri" w:hAnsi="Calibri" w:cs="Calibri"/>
          <w:szCs w:val="24"/>
        </w:rPr>
        <w:t>.</w:t>
      </w:r>
    </w:p>
    <w:p w14:paraId="04578E7F" w14:textId="77777777" w:rsidR="00374149" w:rsidRDefault="00374149" w:rsidP="00374149">
      <w:pPr>
        <w:contextualSpacing/>
        <w:rPr>
          <w:rFonts w:ascii="Calibri" w:hAnsi="Calibri" w:cs="Calibri"/>
          <w:szCs w:val="24"/>
        </w:rPr>
      </w:pPr>
    </w:p>
    <w:p w14:paraId="2E0240E8" w14:textId="57505764" w:rsidR="00374149" w:rsidRDefault="00374149" w:rsidP="00DC6571">
      <w:pPr>
        <w:contextualSpacing/>
        <w:jc w:val="both"/>
        <w:rPr>
          <w:rFonts w:ascii="Calibri" w:hAnsi="Calibri" w:cs="Calibri"/>
          <w:szCs w:val="24"/>
        </w:rPr>
      </w:pPr>
      <w:r>
        <w:rPr>
          <w:rFonts w:ascii="Calibri" w:hAnsi="Calibri" w:cs="Calibri"/>
          <w:szCs w:val="24"/>
        </w:rPr>
        <w:t xml:space="preserve">A bank will be required to present an assessment of its </w:t>
      </w:r>
      <w:r w:rsidR="00936777">
        <w:rPr>
          <w:rFonts w:ascii="Calibri" w:hAnsi="Calibri" w:cs="Calibri"/>
          <w:szCs w:val="24"/>
        </w:rPr>
        <w:t xml:space="preserve">funding </w:t>
      </w:r>
      <w:r>
        <w:rPr>
          <w:rFonts w:ascii="Calibri" w:hAnsi="Calibri" w:cs="Calibri"/>
          <w:szCs w:val="24"/>
        </w:rPr>
        <w:t>liquidity position, including:</w:t>
      </w:r>
    </w:p>
    <w:p w14:paraId="2780C28C" w14:textId="77777777" w:rsidR="00374149" w:rsidRDefault="00374149" w:rsidP="00DC6571">
      <w:pPr>
        <w:contextualSpacing/>
        <w:jc w:val="both"/>
        <w:rPr>
          <w:rFonts w:ascii="Calibri" w:hAnsi="Calibri" w:cs="Calibri"/>
          <w:szCs w:val="24"/>
        </w:rPr>
      </w:pPr>
    </w:p>
    <w:p w14:paraId="11B44C87" w14:textId="52CF2EA7" w:rsidR="00374149" w:rsidRDefault="00374149" w:rsidP="00BB5736">
      <w:pPr>
        <w:pStyle w:val="ListParagraph"/>
        <w:numPr>
          <w:ilvl w:val="0"/>
          <w:numId w:val="61"/>
        </w:numPr>
        <w:jc w:val="both"/>
        <w:rPr>
          <w:rFonts w:ascii="Calibri" w:hAnsi="Calibri" w:cs="Calibri"/>
          <w:szCs w:val="24"/>
        </w:rPr>
      </w:pPr>
      <w:r>
        <w:rPr>
          <w:rFonts w:ascii="Calibri" w:hAnsi="Calibri" w:cs="Calibri"/>
          <w:szCs w:val="24"/>
        </w:rPr>
        <w:t>T</w:t>
      </w:r>
      <w:r w:rsidRPr="007575AB">
        <w:rPr>
          <w:rFonts w:ascii="Calibri" w:hAnsi="Calibri" w:cs="Calibri"/>
          <w:szCs w:val="24"/>
        </w:rPr>
        <w:t>he factors that contributed to its</w:t>
      </w:r>
      <w:r w:rsidR="005B66F6">
        <w:rPr>
          <w:rFonts w:ascii="Calibri" w:hAnsi="Calibri" w:cs="Calibri"/>
          <w:szCs w:val="24"/>
        </w:rPr>
        <w:t xml:space="preserve"> NSFR</w:t>
      </w:r>
      <w:r w:rsidRPr="007575AB">
        <w:rPr>
          <w:rFonts w:ascii="Calibri" w:hAnsi="Calibri" w:cs="Calibri"/>
          <w:szCs w:val="24"/>
        </w:rPr>
        <w:t xml:space="preserve"> </w:t>
      </w:r>
      <w:r w:rsidR="00936777">
        <w:rPr>
          <w:rFonts w:ascii="Calibri" w:hAnsi="Calibri" w:cs="Calibri"/>
          <w:szCs w:val="24"/>
        </w:rPr>
        <w:t xml:space="preserve">expecting to fall below, or </w:t>
      </w:r>
      <w:r w:rsidRPr="007575AB">
        <w:rPr>
          <w:rFonts w:ascii="Calibri" w:hAnsi="Calibri" w:cs="Calibri"/>
          <w:szCs w:val="24"/>
        </w:rPr>
        <w:t>falling below</w:t>
      </w:r>
      <w:r w:rsidR="00936777">
        <w:rPr>
          <w:rFonts w:ascii="Calibri" w:hAnsi="Calibri" w:cs="Calibri"/>
          <w:szCs w:val="24"/>
        </w:rPr>
        <w:t xml:space="preserve">, the </w:t>
      </w:r>
      <w:r w:rsidRPr="007575AB">
        <w:rPr>
          <w:rFonts w:ascii="Calibri" w:hAnsi="Calibri" w:cs="Calibri"/>
          <w:szCs w:val="24"/>
        </w:rPr>
        <w:t>100%</w:t>
      </w:r>
      <w:r w:rsidR="00936777">
        <w:rPr>
          <w:rFonts w:ascii="Calibri" w:hAnsi="Calibri" w:cs="Calibri"/>
          <w:szCs w:val="24"/>
        </w:rPr>
        <w:t xml:space="preserve"> (or any alternative higher limit)</w:t>
      </w:r>
      <w:r w:rsidRPr="007575AB">
        <w:rPr>
          <w:rFonts w:ascii="Calibri" w:hAnsi="Calibri" w:cs="Calibri"/>
          <w:szCs w:val="24"/>
        </w:rPr>
        <w:t>,</w:t>
      </w:r>
    </w:p>
    <w:p w14:paraId="4CE89E73" w14:textId="77777777" w:rsidR="00374149" w:rsidRDefault="00374149" w:rsidP="00BB5736">
      <w:pPr>
        <w:pStyle w:val="ListParagraph"/>
        <w:numPr>
          <w:ilvl w:val="0"/>
          <w:numId w:val="61"/>
        </w:numPr>
        <w:jc w:val="both"/>
        <w:rPr>
          <w:rFonts w:ascii="Calibri" w:hAnsi="Calibri" w:cs="Calibri"/>
          <w:szCs w:val="24"/>
        </w:rPr>
      </w:pPr>
      <w:r>
        <w:rPr>
          <w:rFonts w:ascii="Calibri" w:hAnsi="Calibri" w:cs="Calibri"/>
          <w:szCs w:val="24"/>
        </w:rPr>
        <w:t>T</w:t>
      </w:r>
      <w:r w:rsidRPr="007575AB">
        <w:rPr>
          <w:rFonts w:ascii="Calibri" w:hAnsi="Calibri" w:cs="Calibri"/>
          <w:szCs w:val="24"/>
        </w:rPr>
        <w:t>he measures that have been and will be taken</w:t>
      </w:r>
      <w:r>
        <w:rPr>
          <w:rFonts w:ascii="Calibri" w:hAnsi="Calibri" w:cs="Calibri"/>
          <w:szCs w:val="24"/>
        </w:rPr>
        <w:t xml:space="preserve">; </w:t>
      </w:r>
      <w:r w:rsidRPr="007575AB">
        <w:rPr>
          <w:rFonts w:ascii="Calibri" w:hAnsi="Calibri" w:cs="Calibri"/>
          <w:szCs w:val="24"/>
        </w:rPr>
        <w:t>and</w:t>
      </w:r>
    </w:p>
    <w:p w14:paraId="13137F97" w14:textId="0C911509" w:rsidR="00374149" w:rsidRDefault="00374149" w:rsidP="00BB5736">
      <w:pPr>
        <w:pStyle w:val="ListParagraph"/>
        <w:numPr>
          <w:ilvl w:val="0"/>
          <w:numId w:val="61"/>
        </w:numPr>
        <w:jc w:val="both"/>
        <w:rPr>
          <w:rFonts w:ascii="Calibri" w:hAnsi="Calibri" w:cs="Calibri"/>
          <w:szCs w:val="24"/>
        </w:rPr>
      </w:pPr>
      <w:r>
        <w:rPr>
          <w:rFonts w:ascii="Calibri" w:hAnsi="Calibri" w:cs="Calibri"/>
          <w:szCs w:val="24"/>
        </w:rPr>
        <w:t>T</w:t>
      </w:r>
      <w:r w:rsidRPr="007575AB">
        <w:rPr>
          <w:rFonts w:ascii="Calibri" w:hAnsi="Calibri" w:cs="Calibri"/>
          <w:szCs w:val="24"/>
        </w:rPr>
        <w:t xml:space="preserve">he expectations on the potential </w:t>
      </w:r>
      <w:r w:rsidR="0087027A">
        <w:rPr>
          <w:rFonts w:ascii="Calibri" w:hAnsi="Calibri" w:cs="Calibri"/>
          <w:szCs w:val="24"/>
        </w:rPr>
        <w:t>duration</w:t>
      </w:r>
      <w:r w:rsidR="0087027A" w:rsidRPr="007575AB">
        <w:rPr>
          <w:rFonts w:ascii="Calibri" w:hAnsi="Calibri" w:cs="Calibri"/>
          <w:szCs w:val="24"/>
        </w:rPr>
        <w:t xml:space="preserve"> </w:t>
      </w:r>
      <w:r w:rsidRPr="007575AB">
        <w:rPr>
          <w:rFonts w:ascii="Calibri" w:hAnsi="Calibri" w:cs="Calibri"/>
          <w:szCs w:val="24"/>
        </w:rPr>
        <w:t>of the situation.</w:t>
      </w:r>
    </w:p>
    <w:p w14:paraId="6E128737" w14:textId="77777777" w:rsidR="00374149" w:rsidRDefault="00374149" w:rsidP="00DC6571">
      <w:pPr>
        <w:jc w:val="both"/>
        <w:rPr>
          <w:rFonts w:ascii="Calibri" w:hAnsi="Calibri" w:cs="Calibri"/>
          <w:szCs w:val="24"/>
        </w:rPr>
      </w:pPr>
    </w:p>
    <w:p w14:paraId="7C0B22FC" w14:textId="552F14FF" w:rsidR="00374149" w:rsidRPr="007575AB" w:rsidRDefault="00374149" w:rsidP="00DC6571">
      <w:pPr>
        <w:jc w:val="both"/>
        <w:rPr>
          <w:rFonts w:ascii="Calibri" w:hAnsi="Calibri" w:cs="Calibri"/>
          <w:szCs w:val="24"/>
        </w:rPr>
      </w:pPr>
      <w:r w:rsidRPr="007575AB">
        <w:rPr>
          <w:rFonts w:ascii="Calibri" w:hAnsi="Calibri" w:cs="Calibri"/>
          <w:szCs w:val="24"/>
        </w:rPr>
        <w:t>Enhanced reporting to the Authority, commensurate with the duration of the shortfall will</w:t>
      </w:r>
      <w:r w:rsidR="0012525D">
        <w:rPr>
          <w:rFonts w:ascii="Calibri" w:hAnsi="Calibri" w:cs="Calibri"/>
          <w:szCs w:val="24"/>
        </w:rPr>
        <w:t xml:space="preserve"> generally</w:t>
      </w:r>
      <w:r w:rsidRPr="007575AB">
        <w:rPr>
          <w:rFonts w:ascii="Calibri" w:hAnsi="Calibri" w:cs="Calibri"/>
          <w:szCs w:val="24"/>
        </w:rPr>
        <w:t xml:space="preserve"> be required. The Authority may also require the bank to take action to reduce its exposure to liquidity risk, strengthen its overall liquidity risk management, or improve its contingency funding plan. </w:t>
      </w:r>
    </w:p>
    <w:p w14:paraId="524A1C1A" w14:textId="77777777" w:rsidR="00374149" w:rsidRDefault="00374149" w:rsidP="00DC6571">
      <w:pPr>
        <w:contextualSpacing/>
        <w:jc w:val="both"/>
        <w:rPr>
          <w:rFonts w:ascii="Calibri" w:hAnsi="Calibri" w:cs="Calibri"/>
          <w:szCs w:val="24"/>
        </w:rPr>
      </w:pPr>
    </w:p>
    <w:p w14:paraId="5B1FA0B5" w14:textId="72971EF2" w:rsidR="00FA2F1C" w:rsidRDefault="00374149" w:rsidP="005B66F6">
      <w:pPr>
        <w:contextualSpacing/>
        <w:jc w:val="both"/>
        <w:rPr>
          <w:rFonts w:ascii="Calibri" w:hAnsi="Calibri" w:cs="Calibri"/>
          <w:szCs w:val="24"/>
        </w:rPr>
      </w:pPr>
      <w:r>
        <w:rPr>
          <w:rFonts w:ascii="Calibri" w:hAnsi="Calibri" w:cs="Calibri"/>
          <w:szCs w:val="24"/>
        </w:rPr>
        <w:t xml:space="preserve">Banks should use the </w:t>
      </w:r>
      <w:r w:rsidR="005B66F6">
        <w:rPr>
          <w:rFonts w:ascii="Calibri" w:hAnsi="Calibri" w:cs="Calibri"/>
          <w:szCs w:val="24"/>
        </w:rPr>
        <w:t>NSFR</w:t>
      </w:r>
      <w:r>
        <w:rPr>
          <w:rFonts w:ascii="Calibri" w:hAnsi="Calibri" w:cs="Calibri"/>
          <w:szCs w:val="24"/>
        </w:rPr>
        <w:t xml:space="preserve"> Reporting Form on an ongoing basis to help monitor and control liquidity risk.</w:t>
      </w:r>
    </w:p>
    <w:p w14:paraId="57ED718D" w14:textId="77777777" w:rsidR="00967A54" w:rsidRDefault="00967A54" w:rsidP="0012525D">
      <w:pPr>
        <w:contextualSpacing/>
        <w:jc w:val="both"/>
        <w:rPr>
          <w:rFonts w:ascii="Calibri" w:hAnsi="Calibri" w:cs="Calibri"/>
          <w:szCs w:val="24"/>
        </w:rPr>
      </w:pPr>
    </w:p>
    <w:p w14:paraId="6DCFFCB9" w14:textId="4A020992" w:rsidR="00DE30C2" w:rsidRPr="008F7E60" w:rsidRDefault="00374149" w:rsidP="00DE30C2">
      <w:pPr>
        <w:contextualSpacing/>
        <w:jc w:val="both"/>
        <w:rPr>
          <w:rFonts w:ascii="Calibri" w:hAnsi="Calibri" w:cs="Calibri"/>
          <w:b/>
          <w:bCs/>
          <w:color w:val="005782"/>
          <w:szCs w:val="24"/>
        </w:rPr>
      </w:pPr>
      <w:r w:rsidRPr="008F7E60">
        <w:rPr>
          <w:rFonts w:ascii="Calibri" w:hAnsi="Calibri" w:cs="Calibri"/>
          <w:b/>
          <w:bCs/>
          <w:color w:val="005782"/>
          <w:szCs w:val="24"/>
        </w:rPr>
        <w:t>Consolidated Returns</w:t>
      </w:r>
    </w:p>
    <w:p w14:paraId="45CABFD5" w14:textId="155615C3" w:rsidR="00374149" w:rsidRPr="008F7E60" w:rsidRDefault="007E615C" w:rsidP="00DE30C2">
      <w:pPr>
        <w:contextualSpacing/>
        <w:jc w:val="both"/>
        <w:rPr>
          <w:rFonts w:ascii="Calibri" w:hAnsi="Calibri" w:cs="Calibri"/>
          <w:b/>
          <w:bCs/>
          <w:color w:val="005782"/>
          <w:szCs w:val="24"/>
        </w:rPr>
      </w:pPr>
      <w:r w:rsidRPr="008F7E60">
        <w:rPr>
          <w:rFonts w:ascii="Calibri" w:hAnsi="Calibri" w:cs="Calibri"/>
          <w:szCs w:val="24"/>
        </w:rPr>
        <w:t xml:space="preserve">A “Consolidated </w:t>
      </w:r>
      <w:r w:rsidR="005B66F6" w:rsidRPr="008F7E60">
        <w:rPr>
          <w:rFonts w:ascii="Calibri" w:hAnsi="Calibri" w:cs="Calibri"/>
          <w:szCs w:val="24"/>
        </w:rPr>
        <w:t>NSFR</w:t>
      </w:r>
      <w:r w:rsidRPr="008F7E60">
        <w:rPr>
          <w:rFonts w:ascii="Calibri" w:hAnsi="Calibri" w:cs="Calibri"/>
          <w:szCs w:val="24"/>
        </w:rPr>
        <w:t>”</w:t>
      </w:r>
      <w:r w:rsidR="00374149" w:rsidRPr="008F7E60">
        <w:rPr>
          <w:rFonts w:ascii="Calibri" w:hAnsi="Calibri" w:cs="Calibri"/>
          <w:szCs w:val="24"/>
        </w:rPr>
        <w:t xml:space="preserve"> (in relation to banks incorporated in the Isle of Man, and in addition</w:t>
      </w:r>
      <w:r w:rsidR="00DE30C2" w:rsidRPr="008F7E60">
        <w:rPr>
          <w:rFonts w:ascii="Calibri" w:hAnsi="Calibri" w:cs="Calibri"/>
          <w:b/>
          <w:bCs/>
          <w:color w:val="005782"/>
          <w:szCs w:val="24"/>
        </w:rPr>
        <w:t xml:space="preserve"> </w:t>
      </w:r>
      <w:r w:rsidR="00374149" w:rsidRPr="008F7E60">
        <w:rPr>
          <w:rFonts w:ascii="Calibri" w:hAnsi="Calibri" w:cs="Calibri"/>
          <w:szCs w:val="24"/>
        </w:rPr>
        <w:t>to solo returns that must be submitted) will normally be required in the following</w:t>
      </w:r>
      <w:r w:rsidR="00DE30C2" w:rsidRPr="008F7E60">
        <w:rPr>
          <w:rFonts w:ascii="Calibri" w:hAnsi="Calibri" w:cs="Calibri"/>
          <w:szCs w:val="24"/>
        </w:rPr>
        <w:t xml:space="preserve"> </w:t>
      </w:r>
      <w:r w:rsidR="00374149" w:rsidRPr="008F7E60">
        <w:rPr>
          <w:rFonts w:ascii="Calibri" w:hAnsi="Calibri" w:cs="Calibri"/>
          <w:szCs w:val="24"/>
        </w:rPr>
        <w:t>circumstances:</w:t>
      </w:r>
    </w:p>
    <w:p w14:paraId="0E2E16D7" w14:textId="77777777" w:rsidR="00374149" w:rsidRPr="008F7E60" w:rsidRDefault="00374149" w:rsidP="00DE30C2">
      <w:pPr>
        <w:contextualSpacing/>
        <w:jc w:val="both"/>
        <w:rPr>
          <w:rFonts w:ascii="Calibri" w:hAnsi="Calibri" w:cs="Calibri"/>
          <w:szCs w:val="24"/>
        </w:rPr>
      </w:pPr>
    </w:p>
    <w:p w14:paraId="192EDC06" w14:textId="77777777" w:rsidR="00374149" w:rsidRPr="008F7E60" w:rsidRDefault="00374149" w:rsidP="00DE30C2">
      <w:pPr>
        <w:pStyle w:val="ListParagraph"/>
        <w:numPr>
          <w:ilvl w:val="0"/>
          <w:numId w:val="64"/>
        </w:numPr>
        <w:spacing w:line="259" w:lineRule="auto"/>
        <w:jc w:val="both"/>
        <w:rPr>
          <w:rFonts w:ascii="Calibri" w:hAnsi="Calibri" w:cs="Calibri"/>
          <w:szCs w:val="24"/>
        </w:rPr>
      </w:pPr>
      <w:r w:rsidRPr="008F7E60">
        <w:rPr>
          <w:rFonts w:ascii="Calibri" w:hAnsi="Calibri" w:cs="Calibri"/>
          <w:szCs w:val="24"/>
        </w:rPr>
        <w:t xml:space="preserve">Where the bank has provided substantial finance (other than share capital) for subsidiary companies or where it carries on a significant part of its business through subsidiary </w:t>
      </w:r>
      <w:proofErr w:type="gramStart"/>
      <w:r w:rsidRPr="008F7E60">
        <w:rPr>
          <w:rFonts w:ascii="Calibri" w:hAnsi="Calibri" w:cs="Calibri"/>
          <w:szCs w:val="24"/>
        </w:rPr>
        <w:t>companies;</w:t>
      </w:r>
      <w:proofErr w:type="gramEnd"/>
    </w:p>
    <w:p w14:paraId="35BB8236" w14:textId="77777777" w:rsidR="00374149" w:rsidRPr="008F7E60" w:rsidRDefault="00374149" w:rsidP="00DE30C2">
      <w:pPr>
        <w:pStyle w:val="ListParagraph"/>
        <w:numPr>
          <w:ilvl w:val="0"/>
          <w:numId w:val="64"/>
        </w:numPr>
        <w:spacing w:line="259" w:lineRule="auto"/>
        <w:jc w:val="both"/>
        <w:rPr>
          <w:rFonts w:ascii="Calibri" w:hAnsi="Calibri" w:cs="Calibri"/>
          <w:szCs w:val="24"/>
        </w:rPr>
      </w:pPr>
      <w:r w:rsidRPr="008F7E60">
        <w:rPr>
          <w:rFonts w:ascii="Calibri" w:hAnsi="Calibri" w:cs="Calibri"/>
          <w:szCs w:val="24"/>
        </w:rPr>
        <w:t>Where the bank has a material subsidiary that is a licensed bank in the Isle of Man or elsewhere; or</w:t>
      </w:r>
    </w:p>
    <w:p w14:paraId="757F15A6" w14:textId="77777777" w:rsidR="00374149" w:rsidRPr="008F7E60" w:rsidRDefault="00374149" w:rsidP="00DE30C2">
      <w:pPr>
        <w:pStyle w:val="ListParagraph"/>
        <w:numPr>
          <w:ilvl w:val="0"/>
          <w:numId w:val="64"/>
        </w:numPr>
        <w:spacing w:line="259" w:lineRule="auto"/>
        <w:jc w:val="both"/>
        <w:rPr>
          <w:rFonts w:ascii="Calibri" w:hAnsi="Calibri" w:cs="Calibri"/>
          <w:szCs w:val="24"/>
        </w:rPr>
      </w:pPr>
      <w:r w:rsidRPr="008F7E60">
        <w:rPr>
          <w:rFonts w:ascii="Calibri" w:hAnsi="Calibri" w:cs="Calibri"/>
          <w:szCs w:val="24"/>
        </w:rPr>
        <w:t>Where the bank has a material subsidiary that conducts financial services business in the Isle of Man or elsewhere.</w:t>
      </w:r>
    </w:p>
    <w:p w14:paraId="276E7ED0" w14:textId="77777777" w:rsidR="00374149" w:rsidRPr="001144B7" w:rsidRDefault="00374149" w:rsidP="00DE30C2">
      <w:pPr>
        <w:pStyle w:val="ListParagraph"/>
        <w:jc w:val="both"/>
        <w:rPr>
          <w:rFonts w:ascii="Calibri" w:hAnsi="Calibri" w:cs="Calibri"/>
          <w:szCs w:val="24"/>
        </w:rPr>
      </w:pPr>
    </w:p>
    <w:p w14:paraId="5503AEA1" w14:textId="3F07B3F6" w:rsidR="00374149" w:rsidRDefault="00374149" w:rsidP="00DE30C2">
      <w:pPr>
        <w:contextualSpacing/>
        <w:jc w:val="both"/>
        <w:rPr>
          <w:rFonts w:ascii="Calibri" w:hAnsi="Calibri" w:cs="Calibri"/>
          <w:szCs w:val="24"/>
        </w:rPr>
      </w:pPr>
      <w:r w:rsidRPr="001144B7">
        <w:rPr>
          <w:rFonts w:ascii="Calibri" w:hAnsi="Calibri" w:cs="Calibri"/>
          <w:szCs w:val="24"/>
        </w:rPr>
        <w:t>The requirements should be discussed and agreed with the Authority in advance.</w:t>
      </w:r>
    </w:p>
    <w:p w14:paraId="47051CA1" w14:textId="77777777" w:rsidR="00374149" w:rsidRPr="005B66F6" w:rsidRDefault="00374149" w:rsidP="00374149">
      <w:pPr>
        <w:contextualSpacing/>
        <w:rPr>
          <w:rFonts w:ascii="Calibri" w:hAnsi="Calibri" w:cs="Calibri"/>
          <w:szCs w:val="24"/>
          <w:highlight w:val="yellow"/>
        </w:rPr>
      </w:pPr>
    </w:p>
    <w:p w14:paraId="2A28310B" w14:textId="05D651E5" w:rsidR="00374149" w:rsidRPr="008F7E60" w:rsidRDefault="00374149" w:rsidP="00E27D2D">
      <w:pPr>
        <w:contextualSpacing/>
        <w:jc w:val="both"/>
        <w:rPr>
          <w:rFonts w:ascii="Calibri" w:hAnsi="Calibri" w:cs="Calibri"/>
          <w:b/>
          <w:bCs/>
          <w:color w:val="005782"/>
          <w:szCs w:val="24"/>
        </w:rPr>
      </w:pPr>
      <w:r w:rsidRPr="008F7E60">
        <w:rPr>
          <w:rFonts w:ascii="Calibri" w:hAnsi="Calibri" w:cs="Calibri"/>
          <w:b/>
          <w:bCs/>
          <w:color w:val="005782"/>
          <w:szCs w:val="24"/>
        </w:rPr>
        <w:t>Relationship to audited financial statements</w:t>
      </w:r>
    </w:p>
    <w:p w14:paraId="62EE43B1" w14:textId="32A7DC05" w:rsidR="00374149" w:rsidRPr="00F86760" w:rsidRDefault="00374149" w:rsidP="00E27D2D">
      <w:pPr>
        <w:contextualSpacing/>
        <w:jc w:val="both"/>
        <w:rPr>
          <w:rFonts w:ascii="Calibri" w:hAnsi="Calibri" w:cs="Calibri"/>
          <w:szCs w:val="24"/>
        </w:rPr>
      </w:pPr>
      <w:r w:rsidRPr="008F7E60">
        <w:rPr>
          <w:rFonts w:ascii="Calibri" w:hAnsi="Calibri" w:cs="Calibri"/>
          <w:szCs w:val="24"/>
        </w:rPr>
        <w:t>The</w:t>
      </w:r>
      <w:r w:rsidR="008F7E60" w:rsidRPr="008F7E60">
        <w:rPr>
          <w:rFonts w:ascii="Calibri" w:hAnsi="Calibri" w:cs="Calibri"/>
          <w:szCs w:val="24"/>
        </w:rPr>
        <w:t xml:space="preserve"> NSFR</w:t>
      </w:r>
      <w:r w:rsidRPr="008F7E60">
        <w:rPr>
          <w:rFonts w:ascii="Calibri" w:hAnsi="Calibri" w:cs="Calibri"/>
          <w:szCs w:val="24"/>
        </w:rPr>
        <w:t xml:space="preserve"> Reporting Form may sometimes require </w:t>
      </w:r>
      <w:r w:rsidR="00E27D2D" w:rsidRPr="008F7E60">
        <w:rPr>
          <w:rFonts w:ascii="Calibri" w:hAnsi="Calibri" w:cs="Calibri"/>
          <w:szCs w:val="24"/>
        </w:rPr>
        <w:t>i</w:t>
      </w:r>
      <w:r w:rsidRPr="008F7E60">
        <w:rPr>
          <w:rFonts w:ascii="Calibri" w:hAnsi="Calibri" w:cs="Calibri"/>
          <w:szCs w:val="24"/>
        </w:rPr>
        <w:t>tems to be treated in a way that differs from the bank's practice for preparing its financial statements.</w:t>
      </w:r>
    </w:p>
    <w:p w14:paraId="69A7CF31" w14:textId="77777777" w:rsidR="00374149" w:rsidRPr="005B66F6" w:rsidRDefault="00374149" w:rsidP="00374149">
      <w:pPr>
        <w:contextualSpacing/>
        <w:rPr>
          <w:rFonts w:ascii="Calibri" w:hAnsi="Calibri" w:cs="Calibri"/>
          <w:szCs w:val="24"/>
          <w:highlight w:val="yellow"/>
        </w:rPr>
      </w:pPr>
    </w:p>
    <w:p w14:paraId="65C4683C" w14:textId="71061D0F" w:rsidR="00374149" w:rsidRPr="008F7E60" w:rsidRDefault="00374149" w:rsidP="00E27D2D">
      <w:pPr>
        <w:contextualSpacing/>
        <w:jc w:val="both"/>
        <w:rPr>
          <w:rFonts w:ascii="Calibri" w:hAnsi="Calibri" w:cs="Calibri"/>
          <w:b/>
          <w:bCs/>
          <w:color w:val="005782"/>
          <w:szCs w:val="24"/>
        </w:rPr>
      </w:pPr>
      <w:r w:rsidRPr="008F7E60">
        <w:rPr>
          <w:rFonts w:ascii="Calibri" w:hAnsi="Calibri" w:cs="Calibri"/>
          <w:b/>
          <w:bCs/>
          <w:color w:val="005782"/>
          <w:szCs w:val="24"/>
        </w:rPr>
        <w:t>Risk weightings</w:t>
      </w:r>
    </w:p>
    <w:p w14:paraId="0FE6B569" w14:textId="1B7460F2" w:rsidR="00E55C47" w:rsidRDefault="00E27D2D" w:rsidP="00E27D2D">
      <w:pPr>
        <w:contextualSpacing/>
        <w:jc w:val="both"/>
        <w:rPr>
          <w:rFonts w:ascii="Calibri" w:hAnsi="Calibri" w:cs="Calibri"/>
          <w:szCs w:val="24"/>
        </w:rPr>
      </w:pPr>
      <w:r w:rsidRPr="008F7E60">
        <w:rPr>
          <w:rFonts w:ascii="Calibri" w:hAnsi="Calibri" w:cs="Calibri"/>
          <w:szCs w:val="24"/>
        </w:rPr>
        <w:t>Reference to (credit) r</w:t>
      </w:r>
      <w:r w:rsidR="00374149" w:rsidRPr="008F7E60">
        <w:rPr>
          <w:rFonts w:ascii="Calibri" w:hAnsi="Calibri" w:cs="Calibri"/>
          <w:szCs w:val="24"/>
        </w:rPr>
        <w:t>isk weightings are those used in Form SR-1B for banks incorporated in the Isle of Man.</w:t>
      </w:r>
      <w:r w:rsidR="00374149" w:rsidRPr="00FA0405">
        <w:rPr>
          <w:rFonts w:ascii="Calibri" w:hAnsi="Calibri" w:cs="Calibri"/>
          <w:szCs w:val="24"/>
        </w:rPr>
        <w:t xml:space="preserve"> </w:t>
      </w:r>
    </w:p>
    <w:p w14:paraId="5AB7E639" w14:textId="77777777" w:rsidR="00E55C47" w:rsidRDefault="00E55C47">
      <w:pPr>
        <w:rPr>
          <w:rFonts w:ascii="Calibri" w:hAnsi="Calibri" w:cs="Calibri"/>
          <w:szCs w:val="24"/>
        </w:rPr>
      </w:pPr>
      <w:r>
        <w:rPr>
          <w:rFonts w:ascii="Calibri" w:hAnsi="Calibri" w:cs="Calibri"/>
          <w:szCs w:val="24"/>
        </w:rPr>
        <w:br w:type="page"/>
      </w:r>
    </w:p>
    <w:p w14:paraId="0457F0C2" w14:textId="1E516C96" w:rsidR="00222FC2" w:rsidRPr="00222FC2" w:rsidRDefault="009F3F87" w:rsidP="00222FC2">
      <w:pPr>
        <w:pStyle w:val="Heading1"/>
        <w:numPr>
          <w:ilvl w:val="0"/>
          <w:numId w:val="7"/>
        </w:numPr>
        <w:spacing w:before="240"/>
        <w:rPr>
          <w:color w:val="005782"/>
        </w:rPr>
      </w:pPr>
      <w:bookmarkStart w:id="6" w:name="_Toc201849533"/>
      <w:r>
        <w:rPr>
          <w:color w:val="005782"/>
        </w:rPr>
        <w:lastRenderedPageBreak/>
        <w:t>Net Stable Funding Ratio (NSFR)</w:t>
      </w:r>
      <w:r w:rsidR="00222FC2">
        <w:rPr>
          <w:color w:val="005782"/>
        </w:rPr>
        <w:t xml:space="preserve"> – General Requirements</w:t>
      </w:r>
      <w:bookmarkEnd w:id="6"/>
    </w:p>
    <w:p w14:paraId="385D5373" w14:textId="77777777" w:rsidR="00F939E8" w:rsidRPr="00931297" w:rsidRDefault="00F939E8" w:rsidP="00A83837">
      <w:pPr>
        <w:pStyle w:val="ListParagraph"/>
        <w:keepNext/>
        <w:keepLines/>
        <w:numPr>
          <w:ilvl w:val="0"/>
          <w:numId w:val="1"/>
        </w:numPr>
        <w:spacing w:before="240" w:after="240" w:line="276" w:lineRule="auto"/>
        <w:contextualSpacing w:val="0"/>
        <w:jc w:val="both"/>
        <w:outlineLvl w:val="3"/>
        <w:rPr>
          <w:rFonts w:eastAsiaTheme="majorEastAsia" w:cstheme="majorBidi"/>
          <w:vanish/>
          <w:szCs w:val="24"/>
        </w:rPr>
      </w:pPr>
    </w:p>
    <w:p w14:paraId="6F5738F1" w14:textId="77777777" w:rsidR="00F939E8" w:rsidRPr="00931297" w:rsidRDefault="00F939E8" w:rsidP="00A83837">
      <w:pPr>
        <w:pStyle w:val="ListParagraph"/>
        <w:keepNext/>
        <w:keepLines/>
        <w:numPr>
          <w:ilvl w:val="0"/>
          <w:numId w:val="1"/>
        </w:numPr>
        <w:spacing w:before="240" w:after="240" w:line="276" w:lineRule="auto"/>
        <w:contextualSpacing w:val="0"/>
        <w:jc w:val="both"/>
        <w:outlineLvl w:val="3"/>
        <w:rPr>
          <w:rFonts w:eastAsiaTheme="majorEastAsia" w:cstheme="majorBidi"/>
          <w:vanish/>
          <w:szCs w:val="24"/>
        </w:rPr>
      </w:pPr>
    </w:p>
    <w:p w14:paraId="00307169" w14:textId="77777777" w:rsidR="00F939E8" w:rsidRPr="00931297" w:rsidRDefault="00F939E8" w:rsidP="00A83837">
      <w:pPr>
        <w:pStyle w:val="ListParagraph"/>
        <w:keepNext/>
        <w:keepLines/>
        <w:numPr>
          <w:ilvl w:val="1"/>
          <w:numId w:val="1"/>
        </w:numPr>
        <w:spacing w:before="240" w:after="240" w:line="276" w:lineRule="auto"/>
        <w:contextualSpacing w:val="0"/>
        <w:jc w:val="both"/>
        <w:outlineLvl w:val="3"/>
        <w:rPr>
          <w:rFonts w:eastAsiaTheme="majorEastAsia" w:cstheme="majorBidi"/>
          <w:vanish/>
          <w:szCs w:val="24"/>
        </w:rPr>
      </w:pPr>
    </w:p>
    <w:p w14:paraId="5D7B865C" w14:textId="77777777" w:rsidR="00F939E8" w:rsidRPr="00931297" w:rsidRDefault="00F939E8" w:rsidP="00A83837">
      <w:pPr>
        <w:pStyle w:val="ListParagraph"/>
        <w:keepNext/>
        <w:keepLines/>
        <w:numPr>
          <w:ilvl w:val="1"/>
          <w:numId w:val="1"/>
        </w:numPr>
        <w:spacing w:before="240" w:after="240" w:line="276" w:lineRule="auto"/>
        <w:contextualSpacing w:val="0"/>
        <w:jc w:val="both"/>
        <w:outlineLvl w:val="3"/>
        <w:rPr>
          <w:rFonts w:eastAsiaTheme="majorEastAsia" w:cstheme="majorBidi"/>
          <w:vanish/>
          <w:szCs w:val="24"/>
        </w:rPr>
      </w:pPr>
    </w:p>
    <w:tbl>
      <w:tblPr>
        <w:tblStyle w:val="TableGrid"/>
        <w:tblW w:w="8945" w:type="dxa"/>
        <w:tblBorders>
          <w:top w:val="single" w:sz="4" w:space="0" w:color="775431"/>
          <w:left w:val="single" w:sz="4" w:space="0" w:color="775431"/>
          <w:bottom w:val="single" w:sz="4" w:space="0" w:color="775431"/>
          <w:right w:val="single" w:sz="4" w:space="0" w:color="775431"/>
          <w:insideH w:val="single" w:sz="4" w:space="0" w:color="775431"/>
          <w:insideV w:val="single" w:sz="4" w:space="0" w:color="775431"/>
        </w:tblBorders>
        <w:tblLook w:val="04A0" w:firstRow="1" w:lastRow="0" w:firstColumn="1" w:lastColumn="0" w:noHBand="0" w:noVBand="1"/>
      </w:tblPr>
      <w:tblGrid>
        <w:gridCol w:w="8945"/>
      </w:tblGrid>
      <w:tr w:rsidR="00E12FA8" w14:paraId="7C2D9CE2" w14:textId="77777777" w:rsidTr="00793575">
        <w:trPr>
          <w:trHeight w:val="352"/>
        </w:trPr>
        <w:tc>
          <w:tcPr>
            <w:tcW w:w="8945" w:type="dxa"/>
            <w:shd w:val="clear" w:color="auto" w:fill="005782"/>
          </w:tcPr>
          <w:p w14:paraId="57661597" w14:textId="77777777" w:rsidR="00E46C96" w:rsidRDefault="00B00A13" w:rsidP="00473B1E">
            <w:pPr>
              <w:jc w:val="center"/>
              <w:rPr>
                <w:b/>
                <w:bCs/>
                <w:color w:val="FFFFFF" w:themeColor="background1"/>
              </w:rPr>
            </w:pPr>
            <w:bookmarkStart w:id="7" w:name="_Toc130461781"/>
            <w:bookmarkStart w:id="8" w:name="_Toc130906766"/>
            <w:r>
              <w:rPr>
                <w:b/>
                <w:bCs/>
                <w:color w:val="FFFFFF" w:themeColor="background1"/>
              </w:rPr>
              <w:t>General Requirements</w:t>
            </w:r>
          </w:p>
          <w:p w14:paraId="66DE609F" w14:textId="730EDA9C" w:rsidR="00045774" w:rsidRPr="00B00A13" w:rsidRDefault="00045774" w:rsidP="00473B1E">
            <w:pPr>
              <w:jc w:val="center"/>
              <w:rPr>
                <w:b/>
                <w:bCs/>
                <w:color w:val="FFFFFF" w:themeColor="background1"/>
              </w:rPr>
            </w:pPr>
          </w:p>
        </w:tc>
      </w:tr>
      <w:tr w:rsidR="00B00A13" w14:paraId="6A79326D" w14:textId="77777777" w:rsidTr="005E342D">
        <w:trPr>
          <w:trHeight w:val="717"/>
        </w:trPr>
        <w:tc>
          <w:tcPr>
            <w:tcW w:w="8945" w:type="dxa"/>
          </w:tcPr>
          <w:p w14:paraId="366CBFE1" w14:textId="1AD31CFB" w:rsidR="00B77394" w:rsidRDefault="00B77394" w:rsidP="0055267F">
            <w:pPr>
              <w:spacing w:after="240"/>
              <w:contextualSpacing/>
              <w:jc w:val="both"/>
              <w:rPr>
                <w:szCs w:val="24"/>
              </w:rPr>
            </w:pPr>
            <w:r w:rsidRPr="001B48D3">
              <w:rPr>
                <w:szCs w:val="24"/>
              </w:rPr>
              <w:t>The amounts of available stable funding (</w:t>
            </w:r>
            <w:r w:rsidRPr="008F7E60">
              <w:rPr>
                <w:b/>
                <w:bCs/>
                <w:szCs w:val="24"/>
              </w:rPr>
              <w:t>ASF</w:t>
            </w:r>
            <w:r w:rsidRPr="001B48D3">
              <w:rPr>
                <w:szCs w:val="24"/>
              </w:rPr>
              <w:t>) and required stable funding (</w:t>
            </w:r>
            <w:r w:rsidRPr="008F7E60">
              <w:rPr>
                <w:b/>
                <w:bCs/>
                <w:szCs w:val="24"/>
              </w:rPr>
              <w:t>RSF</w:t>
            </w:r>
            <w:r w:rsidRPr="001B48D3">
              <w:rPr>
                <w:szCs w:val="24"/>
              </w:rPr>
              <w:t>) specif</w:t>
            </w:r>
            <w:r>
              <w:rPr>
                <w:szCs w:val="24"/>
              </w:rPr>
              <w:t>i</w:t>
            </w:r>
            <w:r w:rsidRPr="001B48D3">
              <w:rPr>
                <w:szCs w:val="24"/>
              </w:rPr>
              <w:t xml:space="preserve">ed in the </w:t>
            </w:r>
            <w:r w:rsidRPr="008F7E60">
              <w:rPr>
                <w:szCs w:val="24"/>
              </w:rPr>
              <w:t>NSFR Standard</w:t>
            </w:r>
            <w:r w:rsidRPr="001B48D3">
              <w:rPr>
                <w:szCs w:val="24"/>
              </w:rPr>
              <w:t xml:space="preserve"> are calibrated to ref</w:t>
            </w:r>
            <w:r>
              <w:rPr>
                <w:szCs w:val="24"/>
              </w:rPr>
              <w:t>l</w:t>
            </w:r>
            <w:r w:rsidRPr="001B48D3">
              <w:rPr>
                <w:szCs w:val="24"/>
              </w:rPr>
              <w:t>ect the presumed degree of stability of liabilities and liquidity of assets. The calibration</w:t>
            </w:r>
            <w:r>
              <w:rPr>
                <w:szCs w:val="24"/>
              </w:rPr>
              <w:t xml:space="preserve"> </w:t>
            </w:r>
            <w:r w:rsidRPr="001B48D3">
              <w:rPr>
                <w:szCs w:val="24"/>
              </w:rPr>
              <w:t>ref</w:t>
            </w:r>
            <w:r>
              <w:rPr>
                <w:szCs w:val="24"/>
              </w:rPr>
              <w:t>l</w:t>
            </w:r>
            <w:r w:rsidRPr="001B48D3">
              <w:rPr>
                <w:szCs w:val="24"/>
              </w:rPr>
              <w:t>ects the stability of liabilities across two dimensions:</w:t>
            </w:r>
          </w:p>
          <w:p w14:paraId="66A5C9B7" w14:textId="619A6DDB" w:rsidR="00B77394" w:rsidRPr="0055267F" w:rsidRDefault="00B77394" w:rsidP="0055267F">
            <w:pPr>
              <w:pStyle w:val="ListParagraph"/>
              <w:numPr>
                <w:ilvl w:val="0"/>
                <w:numId w:val="104"/>
              </w:numPr>
              <w:spacing w:after="240"/>
              <w:jc w:val="both"/>
              <w:rPr>
                <w:szCs w:val="24"/>
              </w:rPr>
            </w:pPr>
            <w:r w:rsidRPr="0065333C">
              <w:rPr>
                <w:b/>
                <w:bCs/>
                <w:szCs w:val="24"/>
              </w:rPr>
              <w:t>Funding tenor</w:t>
            </w:r>
            <w:r w:rsidRPr="001B48D3">
              <w:rPr>
                <w:szCs w:val="24"/>
              </w:rPr>
              <w:t>: the NSFR is generally calibrated such that longer-term liabilities are assumed to be more stable than short-term liabilities.</w:t>
            </w:r>
          </w:p>
          <w:p w14:paraId="6C31E678" w14:textId="051670E2" w:rsidR="00B77394" w:rsidRPr="0055267F" w:rsidRDefault="00B77394" w:rsidP="0055267F">
            <w:pPr>
              <w:pStyle w:val="ListParagraph"/>
              <w:numPr>
                <w:ilvl w:val="0"/>
                <w:numId w:val="104"/>
              </w:numPr>
              <w:spacing w:after="240"/>
              <w:jc w:val="both"/>
              <w:rPr>
                <w:szCs w:val="24"/>
              </w:rPr>
            </w:pPr>
            <w:r w:rsidRPr="0065333C">
              <w:rPr>
                <w:b/>
                <w:bCs/>
                <w:szCs w:val="24"/>
              </w:rPr>
              <w:t>Funding type and counterparty</w:t>
            </w:r>
            <w:r w:rsidRPr="001B48D3">
              <w:rPr>
                <w:szCs w:val="24"/>
              </w:rPr>
              <w:t>: the NSFR is calibrated under the assumption that short-term (maturing in less than one year) deposits provided by retail customers and funding provided by small business customers are behaviourally more stable than wholesale funding of the same maturity from other counterparties.</w:t>
            </w:r>
          </w:p>
          <w:p w14:paraId="718AC153" w14:textId="2B18FAF0" w:rsidR="00B77394" w:rsidRDefault="00B77394" w:rsidP="0055267F">
            <w:pPr>
              <w:spacing w:after="240"/>
              <w:contextualSpacing/>
              <w:jc w:val="both"/>
              <w:rPr>
                <w:szCs w:val="24"/>
              </w:rPr>
            </w:pPr>
            <w:r w:rsidRPr="001B48D3">
              <w:rPr>
                <w:szCs w:val="24"/>
              </w:rPr>
              <w:t xml:space="preserve">In determining the appropriate amounts of </w:t>
            </w:r>
            <w:r w:rsidRPr="0055267F">
              <w:rPr>
                <w:b/>
                <w:bCs/>
                <w:szCs w:val="24"/>
              </w:rPr>
              <w:t>RSF</w:t>
            </w:r>
            <w:r w:rsidRPr="001B48D3">
              <w:rPr>
                <w:szCs w:val="24"/>
              </w:rPr>
              <w:t xml:space="preserve"> for various assets, the </w:t>
            </w:r>
            <w:r>
              <w:rPr>
                <w:szCs w:val="24"/>
              </w:rPr>
              <w:t xml:space="preserve">NSFR Standard took the </w:t>
            </w:r>
            <w:r w:rsidRPr="001B48D3">
              <w:rPr>
                <w:szCs w:val="24"/>
              </w:rPr>
              <w:t>following criteria into consideration, recognising the potential trade-o</w:t>
            </w:r>
            <w:r>
              <w:rPr>
                <w:szCs w:val="24"/>
              </w:rPr>
              <w:t>f</w:t>
            </w:r>
            <w:r w:rsidRPr="001B48D3">
              <w:rPr>
                <w:szCs w:val="24"/>
              </w:rPr>
              <w:t>fs between these criteria:</w:t>
            </w:r>
          </w:p>
          <w:p w14:paraId="4EBD155C" w14:textId="430560C7" w:rsidR="00B77394" w:rsidRPr="0055267F" w:rsidRDefault="00B77394" w:rsidP="0055267F">
            <w:pPr>
              <w:pStyle w:val="ListParagraph"/>
              <w:numPr>
                <w:ilvl w:val="0"/>
                <w:numId w:val="105"/>
              </w:numPr>
              <w:jc w:val="both"/>
              <w:rPr>
                <w:szCs w:val="24"/>
              </w:rPr>
            </w:pPr>
            <w:r w:rsidRPr="0065333C">
              <w:rPr>
                <w:b/>
                <w:bCs/>
                <w:szCs w:val="24"/>
              </w:rPr>
              <w:t>Resilient credit creation</w:t>
            </w:r>
            <w:r w:rsidRPr="001B48D3">
              <w:rPr>
                <w:szCs w:val="24"/>
              </w:rPr>
              <w:t xml:space="preserve">: the NSFR requires stable funding for some proportion of lending to the real economy </w:t>
            </w:r>
            <w:proofErr w:type="gramStart"/>
            <w:r w:rsidRPr="001B48D3">
              <w:rPr>
                <w:szCs w:val="24"/>
              </w:rPr>
              <w:t>in order to</w:t>
            </w:r>
            <w:proofErr w:type="gramEnd"/>
            <w:r w:rsidRPr="001B48D3">
              <w:rPr>
                <w:szCs w:val="24"/>
              </w:rPr>
              <w:t xml:space="preserve"> ensure the continuity of this type of intermediation.</w:t>
            </w:r>
          </w:p>
          <w:p w14:paraId="7FCF7A48" w14:textId="6A2DB2CE" w:rsidR="00B77394" w:rsidRPr="0055267F" w:rsidRDefault="00B77394" w:rsidP="0055267F">
            <w:pPr>
              <w:pStyle w:val="ListParagraph"/>
              <w:numPr>
                <w:ilvl w:val="0"/>
                <w:numId w:val="105"/>
              </w:numPr>
              <w:jc w:val="both"/>
              <w:rPr>
                <w:szCs w:val="24"/>
              </w:rPr>
            </w:pPr>
            <w:r w:rsidRPr="0065333C">
              <w:rPr>
                <w:b/>
                <w:bCs/>
                <w:szCs w:val="24"/>
              </w:rPr>
              <w:t>Bank behaviour</w:t>
            </w:r>
            <w:r w:rsidRPr="001B48D3">
              <w:rPr>
                <w:szCs w:val="24"/>
              </w:rPr>
              <w:t>: the NSFR is calibrated under the assumption that banks may seek to roll over a signif</w:t>
            </w:r>
            <w:r>
              <w:rPr>
                <w:szCs w:val="24"/>
              </w:rPr>
              <w:t>i</w:t>
            </w:r>
            <w:r w:rsidRPr="001B48D3">
              <w:rPr>
                <w:szCs w:val="24"/>
              </w:rPr>
              <w:t>cant proportion of maturing loans to preserve customer relationships.</w:t>
            </w:r>
          </w:p>
          <w:p w14:paraId="075D8B0D" w14:textId="63EB8227" w:rsidR="00B77394" w:rsidRPr="0055267F" w:rsidRDefault="00B77394" w:rsidP="0055267F">
            <w:pPr>
              <w:pStyle w:val="ListParagraph"/>
              <w:numPr>
                <w:ilvl w:val="0"/>
                <w:numId w:val="105"/>
              </w:numPr>
              <w:jc w:val="both"/>
              <w:rPr>
                <w:szCs w:val="24"/>
              </w:rPr>
            </w:pPr>
            <w:r w:rsidRPr="0065333C">
              <w:rPr>
                <w:b/>
                <w:bCs/>
                <w:szCs w:val="24"/>
              </w:rPr>
              <w:t>Asset tenor</w:t>
            </w:r>
            <w:r w:rsidRPr="001B48D3">
              <w:rPr>
                <w:szCs w:val="24"/>
              </w:rPr>
              <w:t>: the NSFR assumes that some short-dated assets (maturing in less than one year) require a smaller proportion of stable funding because banks would be able to allow some proportion of those assets to mature instead of rolling them over.</w:t>
            </w:r>
          </w:p>
          <w:p w14:paraId="2B5DAD35" w14:textId="2137FFEB" w:rsidR="00B77394" w:rsidRPr="0055267F" w:rsidRDefault="00B77394" w:rsidP="0055267F">
            <w:pPr>
              <w:pStyle w:val="ListParagraph"/>
              <w:numPr>
                <w:ilvl w:val="0"/>
                <w:numId w:val="105"/>
              </w:numPr>
              <w:spacing w:after="240"/>
              <w:jc w:val="both"/>
              <w:rPr>
                <w:szCs w:val="24"/>
              </w:rPr>
            </w:pPr>
            <w:r w:rsidRPr="0065333C">
              <w:rPr>
                <w:b/>
                <w:bCs/>
                <w:szCs w:val="24"/>
              </w:rPr>
              <w:t>Asset quality and liquidity value</w:t>
            </w:r>
            <w:r w:rsidRPr="001B48D3">
              <w:rPr>
                <w:szCs w:val="24"/>
              </w:rPr>
              <w:t>: the NSFR assumes that unencumbered, high-quality assets that can be securitised or traded, and thus can be readily used as collateral to secure additional funding or sold in the market, do not need to be wholly f</w:t>
            </w:r>
            <w:r>
              <w:rPr>
                <w:szCs w:val="24"/>
              </w:rPr>
              <w:t>i</w:t>
            </w:r>
            <w:r w:rsidRPr="001B48D3">
              <w:rPr>
                <w:szCs w:val="24"/>
              </w:rPr>
              <w:t>nanced with stable funding.</w:t>
            </w:r>
          </w:p>
          <w:p w14:paraId="43CA8CF1" w14:textId="18A80A89" w:rsidR="00B77394" w:rsidRPr="00D95013" w:rsidRDefault="00B77394" w:rsidP="0055267F">
            <w:pPr>
              <w:jc w:val="both"/>
              <w:rPr>
                <w:szCs w:val="24"/>
              </w:rPr>
            </w:pPr>
            <w:r w:rsidRPr="00D95013">
              <w:rPr>
                <w:szCs w:val="24"/>
              </w:rPr>
              <w:t>Additional stable funding sources are also required to support at least a small portion of the potential calls on liquidity arising from o</w:t>
            </w:r>
            <w:r>
              <w:rPr>
                <w:szCs w:val="24"/>
              </w:rPr>
              <w:t>f</w:t>
            </w:r>
            <w:r w:rsidRPr="00D95013">
              <w:rPr>
                <w:szCs w:val="24"/>
              </w:rPr>
              <w:t>f-balance sheet commitments and contingent funding obligations.</w:t>
            </w:r>
            <w:r w:rsidRPr="00D95013">
              <w:rPr>
                <w:szCs w:val="24"/>
                <w:highlight w:val="yellow"/>
              </w:rPr>
              <w:t xml:space="preserve"> </w:t>
            </w:r>
          </w:p>
          <w:p w14:paraId="6874F8C9" w14:textId="5C1188E4" w:rsidR="00B00A13" w:rsidRDefault="00B00A13" w:rsidP="00DB2D1B">
            <w:pPr>
              <w:contextualSpacing/>
              <w:jc w:val="both"/>
            </w:pPr>
          </w:p>
        </w:tc>
      </w:tr>
      <w:bookmarkEnd w:id="7"/>
      <w:bookmarkEnd w:id="8"/>
    </w:tbl>
    <w:p w14:paraId="48BFCD9A" w14:textId="60A353CA" w:rsidR="00045774" w:rsidRDefault="00045774"/>
    <w:p w14:paraId="74D26504" w14:textId="77777777" w:rsidR="00045774" w:rsidRDefault="00045774">
      <w:r>
        <w:br w:type="page"/>
      </w:r>
    </w:p>
    <w:p w14:paraId="6549055E" w14:textId="1654293F" w:rsidR="00222FC2" w:rsidRPr="00222FC2" w:rsidRDefault="00222FC2" w:rsidP="00222FC2">
      <w:pPr>
        <w:pStyle w:val="Heading1"/>
        <w:numPr>
          <w:ilvl w:val="0"/>
          <w:numId w:val="7"/>
        </w:numPr>
        <w:spacing w:before="240"/>
        <w:rPr>
          <w:color w:val="005782"/>
        </w:rPr>
      </w:pPr>
      <w:bookmarkStart w:id="9" w:name="_Toc201849534"/>
      <w:r>
        <w:rPr>
          <w:color w:val="005782"/>
        </w:rPr>
        <w:lastRenderedPageBreak/>
        <w:t>Net Stable Funding Ratio (NSFR) – Available Stable Funding (ASF)</w:t>
      </w:r>
      <w:bookmarkEnd w:id="9"/>
    </w:p>
    <w:tbl>
      <w:tblPr>
        <w:tblStyle w:val="TableGrid"/>
        <w:tblW w:w="8945" w:type="dxa"/>
        <w:tblBorders>
          <w:top w:val="single" w:sz="4" w:space="0" w:color="775431"/>
          <w:left w:val="single" w:sz="4" w:space="0" w:color="775431"/>
          <w:bottom w:val="single" w:sz="4" w:space="0" w:color="775431"/>
          <w:right w:val="single" w:sz="4" w:space="0" w:color="775431"/>
          <w:insideH w:val="single" w:sz="4" w:space="0" w:color="775431"/>
          <w:insideV w:val="single" w:sz="4" w:space="0" w:color="775431"/>
        </w:tblBorders>
        <w:tblLook w:val="04A0" w:firstRow="1" w:lastRow="0" w:firstColumn="1" w:lastColumn="0" w:noHBand="0" w:noVBand="1"/>
      </w:tblPr>
      <w:tblGrid>
        <w:gridCol w:w="988"/>
        <w:gridCol w:w="7957"/>
      </w:tblGrid>
      <w:tr w:rsidR="00222FC2" w14:paraId="2ECD62B1" w14:textId="77777777" w:rsidTr="004F18B6">
        <w:trPr>
          <w:trHeight w:val="352"/>
        </w:trPr>
        <w:tc>
          <w:tcPr>
            <w:tcW w:w="8945" w:type="dxa"/>
            <w:gridSpan w:val="2"/>
            <w:shd w:val="clear" w:color="auto" w:fill="005782"/>
          </w:tcPr>
          <w:p w14:paraId="0604809B" w14:textId="77777777" w:rsidR="00222FC2" w:rsidRDefault="00222FC2" w:rsidP="004F18B6">
            <w:pPr>
              <w:jc w:val="center"/>
              <w:rPr>
                <w:b/>
                <w:bCs/>
                <w:color w:val="FFFFFF" w:themeColor="background1"/>
              </w:rPr>
            </w:pPr>
            <w:r w:rsidRPr="00222FC2">
              <w:rPr>
                <w:b/>
                <w:bCs/>
                <w:color w:val="FFFFFF" w:themeColor="background1"/>
              </w:rPr>
              <w:t>Available Stable Funding (ASF) – Items ASF.1 to ASF.14</w:t>
            </w:r>
          </w:p>
          <w:p w14:paraId="2B3BC3A5" w14:textId="77777777" w:rsidR="00045774" w:rsidRPr="00222FC2" w:rsidRDefault="00045774" w:rsidP="004F18B6">
            <w:pPr>
              <w:jc w:val="center"/>
              <w:rPr>
                <w:b/>
                <w:bCs/>
                <w:color w:val="FFFFFF" w:themeColor="background1"/>
              </w:rPr>
            </w:pPr>
          </w:p>
        </w:tc>
      </w:tr>
      <w:tr w:rsidR="00222FC2" w14:paraId="46C21492" w14:textId="77777777" w:rsidTr="004F18B6">
        <w:trPr>
          <w:trHeight w:val="352"/>
        </w:trPr>
        <w:tc>
          <w:tcPr>
            <w:tcW w:w="8945" w:type="dxa"/>
            <w:gridSpan w:val="2"/>
          </w:tcPr>
          <w:p w14:paraId="184FDA4C" w14:textId="77777777" w:rsidR="00222FC2" w:rsidRDefault="00222FC2" w:rsidP="004F18B6">
            <w:pPr>
              <w:contextualSpacing/>
              <w:jc w:val="both"/>
              <w:rPr>
                <w:szCs w:val="24"/>
              </w:rPr>
            </w:pPr>
            <w:r>
              <w:rPr>
                <w:szCs w:val="24"/>
              </w:rPr>
              <w:t xml:space="preserve">The amount of </w:t>
            </w:r>
            <w:r w:rsidRPr="00732348">
              <w:rPr>
                <w:szCs w:val="24"/>
              </w:rPr>
              <w:t>ASF is measured based on the broad characteristics of the relative stability of a</w:t>
            </w:r>
            <w:r>
              <w:rPr>
                <w:szCs w:val="24"/>
              </w:rPr>
              <w:t xml:space="preserve"> bank’s</w:t>
            </w:r>
            <w:r w:rsidRPr="00732348">
              <w:rPr>
                <w:szCs w:val="24"/>
              </w:rPr>
              <w:t xml:space="preserve"> funding sources, including the contractual maturity of its liabilities and the dif</w:t>
            </w:r>
            <w:r>
              <w:rPr>
                <w:szCs w:val="24"/>
              </w:rPr>
              <w:t>f</w:t>
            </w:r>
            <w:r w:rsidRPr="00732348">
              <w:rPr>
                <w:szCs w:val="24"/>
              </w:rPr>
              <w:t>erences in the propensity of dif</w:t>
            </w:r>
            <w:r>
              <w:rPr>
                <w:szCs w:val="24"/>
              </w:rPr>
              <w:t>f</w:t>
            </w:r>
            <w:r w:rsidRPr="00732348">
              <w:rPr>
                <w:szCs w:val="24"/>
              </w:rPr>
              <w:t>erent types of funding providers to withdraw their funding.</w:t>
            </w:r>
          </w:p>
          <w:p w14:paraId="4A765FB7" w14:textId="77777777" w:rsidR="00222FC2" w:rsidRDefault="00222FC2" w:rsidP="004F18B6">
            <w:pPr>
              <w:contextualSpacing/>
              <w:rPr>
                <w:szCs w:val="24"/>
              </w:rPr>
            </w:pPr>
          </w:p>
          <w:p w14:paraId="3A42BB9C" w14:textId="7329998A" w:rsidR="00222FC2" w:rsidRDefault="00222FC2" w:rsidP="004F18B6">
            <w:pPr>
              <w:contextualSpacing/>
              <w:jc w:val="both"/>
              <w:rPr>
                <w:szCs w:val="24"/>
              </w:rPr>
            </w:pPr>
            <w:r w:rsidRPr="002E1EA1">
              <w:rPr>
                <w:szCs w:val="24"/>
              </w:rPr>
              <w:t xml:space="preserve">The amount of ASF </w:t>
            </w:r>
            <w:r>
              <w:rPr>
                <w:szCs w:val="24"/>
              </w:rPr>
              <w:t>is</w:t>
            </w:r>
            <w:r w:rsidRPr="002E1EA1">
              <w:rPr>
                <w:szCs w:val="24"/>
              </w:rPr>
              <w:t xml:space="preserve"> calculated by first assigning the carrying value </w:t>
            </w:r>
            <w:r>
              <w:rPr>
                <w:szCs w:val="24"/>
              </w:rPr>
              <w:t xml:space="preserve">(referred to as the “amount” in the return) </w:t>
            </w:r>
            <w:r w:rsidRPr="002E1EA1">
              <w:rPr>
                <w:szCs w:val="24"/>
              </w:rPr>
              <w:t xml:space="preserve">of </w:t>
            </w:r>
            <w:r>
              <w:rPr>
                <w:szCs w:val="24"/>
              </w:rPr>
              <w:t xml:space="preserve">a bank’s </w:t>
            </w:r>
            <w:r w:rsidRPr="002E1EA1">
              <w:rPr>
                <w:szCs w:val="24"/>
              </w:rPr>
              <w:t xml:space="preserve">capital and liabilities to </w:t>
            </w:r>
            <w:r w:rsidR="00CA6C88">
              <w:rPr>
                <w:szCs w:val="24"/>
              </w:rPr>
              <w:t>the categories listed</w:t>
            </w:r>
            <w:r w:rsidRPr="00F402F4">
              <w:rPr>
                <w:szCs w:val="24"/>
              </w:rPr>
              <w:t xml:space="preserve"> below</w:t>
            </w:r>
            <w:r w:rsidRPr="002E1EA1">
              <w:rPr>
                <w:szCs w:val="24"/>
              </w:rPr>
              <w:t xml:space="preserve">. The amount assigned to each category is then multiplied by </w:t>
            </w:r>
            <w:r w:rsidR="00CA6C88">
              <w:rPr>
                <w:szCs w:val="24"/>
              </w:rPr>
              <w:t>its associated ASF</w:t>
            </w:r>
            <w:r w:rsidRPr="002E1EA1">
              <w:rPr>
                <w:szCs w:val="24"/>
              </w:rPr>
              <w:t xml:space="preserve"> factor</w:t>
            </w:r>
            <w:r w:rsidR="00CA6C88">
              <w:rPr>
                <w:szCs w:val="24"/>
              </w:rPr>
              <w:t>(s)</w:t>
            </w:r>
            <w:r w:rsidRPr="002E1EA1">
              <w:rPr>
                <w:szCs w:val="24"/>
              </w:rPr>
              <w:t xml:space="preserve">, and the </w:t>
            </w:r>
            <w:r>
              <w:rPr>
                <w:szCs w:val="24"/>
              </w:rPr>
              <w:t xml:space="preserve">“calculated amount” is the </w:t>
            </w:r>
            <w:r w:rsidRPr="002E1EA1">
              <w:rPr>
                <w:szCs w:val="24"/>
              </w:rPr>
              <w:t xml:space="preserve">total ASF </w:t>
            </w:r>
            <w:r>
              <w:rPr>
                <w:szCs w:val="24"/>
              </w:rPr>
              <w:t>for each applicable category.</w:t>
            </w:r>
            <w:r w:rsidR="00CA6C88">
              <w:rPr>
                <w:szCs w:val="24"/>
              </w:rPr>
              <w:t xml:space="preserve">  There are 5 factors applied: 100%, 95%, 90%, 50% and 0%.</w:t>
            </w:r>
          </w:p>
          <w:p w14:paraId="2D241821" w14:textId="77777777" w:rsidR="00222FC2" w:rsidRPr="00F65BF7" w:rsidRDefault="00222FC2" w:rsidP="004F18B6">
            <w:pPr>
              <w:contextualSpacing/>
              <w:rPr>
                <w:szCs w:val="24"/>
              </w:rPr>
            </w:pPr>
          </w:p>
          <w:p w14:paraId="5CBE7644" w14:textId="3AD5D5BF" w:rsidR="00222FC2" w:rsidRDefault="00222FC2" w:rsidP="004F18B6">
            <w:pPr>
              <w:contextualSpacing/>
              <w:jc w:val="both"/>
              <w:rPr>
                <w:szCs w:val="24"/>
              </w:rPr>
            </w:pPr>
            <w:r>
              <w:rPr>
                <w:szCs w:val="24"/>
              </w:rPr>
              <w:t>The</w:t>
            </w:r>
            <w:r w:rsidR="00F25F5A">
              <w:rPr>
                <w:szCs w:val="24"/>
              </w:rPr>
              <w:t xml:space="preserve"> </w:t>
            </w:r>
            <w:r>
              <w:rPr>
                <w:szCs w:val="24"/>
              </w:rPr>
              <w:t>“carrying value”</w:t>
            </w:r>
            <w:r w:rsidRPr="00F65BF7">
              <w:rPr>
                <w:szCs w:val="24"/>
              </w:rPr>
              <w:t xml:space="preserve"> represents the amount at which a liability or equity instrument is recorded before the application of any regulatory deductions, filters or other adjustments</w:t>
            </w:r>
            <w:r>
              <w:rPr>
                <w:szCs w:val="24"/>
              </w:rPr>
              <w:t xml:space="preserve"> and is the amount prior to the application of any ASF factors</w:t>
            </w:r>
            <w:r w:rsidRPr="00F65BF7">
              <w:rPr>
                <w:szCs w:val="24"/>
              </w:rPr>
              <w:t>.</w:t>
            </w:r>
            <w:r>
              <w:rPr>
                <w:szCs w:val="24"/>
              </w:rPr>
              <w:t xml:space="preserve"> </w:t>
            </w:r>
          </w:p>
          <w:p w14:paraId="11CBE519" w14:textId="77777777" w:rsidR="00222FC2" w:rsidRDefault="00222FC2" w:rsidP="004F18B6">
            <w:pPr>
              <w:contextualSpacing/>
              <w:rPr>
                <w:szCs w:val="24"/>
              </w:rPr>
            </w:pPr>
          </w:p>
          <w:p w14:paraId="5620B41E" w14:textId="77777777" w:rsidR="00222FC2" w:rsidRDefault="00222FC2" w:rsidP="004F18B6">
            <w:pPr>
              <w:contextualSpacing/>
              <w:jc w:val="both"/>
              <w:rPr>
                <w:szCs w:val="24"/>
              </w:rPr>
            </w:pPr>
            <w:r>
              <w:rPr>
                <w:szCs w:val="24"/>
              </w:rPr>
              <w:t>Banks should report all capital and liabilities to the appropriate columns based on maturity.</w:t>
            </w:r>
          </w:p>
          <w:p w14:paraId="3FAABA0A" w14:textId="77777777" w:rsidR="00222FC2" w:rsidRDefault="00222FC2" w:rsidP="004F18B6">
            <w:pPr>
              <w:contextualSpacing/>
              <w:jc w:val="both"/>
              <w:rPr>
                <w:szCs w:val="24"/>
              </w:rPr>
            </w:pPr>
          </w:p>
          <w:p w14:paraId="13AFF4FE" w14:textId="77777777" w:rsidR="00222FC2" w:rsidRDefault="00222FC2" w:rsidP="004F18B6">
            <w:pPr>
              <w:contextualSpacing/>
              <w:jc w:val="both"/>
              <w:rPr>
                <w:szCs w:val="24"/>
              </w:rPr>
            </w:pPr>
            <w:r w:rsidRPr="002E1EA1">
              <w:rPr>
                <w:szCs w:val="24"/>
              </w:rPr>
              <w:t xml:space="preserve">When determining the maturity of an equity or liability instrument, </w:t>
            </w:r>
            <w:r>
              <w:rPr>
                <w:szCs w:val="24"/>
              </w:rPr>
              <w:t xml:space="preserve">a </w:t>
            </w:r>
            <w:r w:rsidRPr="002E1EA1">
              <w:rPr>
                <w:szCs w:val="24"/>
              </w:rPr>
              <w:t xml:space="preserve">bank must assume </w:t>
            </w:r>
            <w:r>
              <w:rPr>
                <w:szCs w:val="24"/>
              </w:rPr>
              <w:t xml:space="preserve">that </w:t>
            </w:r>
            <w:r w:rsidRPr="002E1EA1">
              <w:rPr>
                <w:szCs w:val="24"/>
              </w:rPr>
              <w:t xml:space="preserve">investors redeem call options </w:t>
            </w:r>
            <w:proofErr w:type="gramStart"/>
            <w:r w:rsidRPr="002E1EA1">
              <w:rPr>
                <w:szCs w:val="24"/>
              </w:rPr>
              <w:t>at the earliest possible date</w:t>
            </w:r>
            <w:proofErr w:type="gramEnd"/>
            <w:r w:rsidRPr="002E1EA1">
              <w:rPr>
                <w:szCs w:val="24"/>
              </w:rPr>
              <w:t>.</w:t>
            </w:r>
            <w:r w:rsidRPr="00E66682">
              <w:rPr>
                <w:szCs w:val="24"/>
                <w:highlight w:val="yellow"/>
              </w:rPr>
              <w:t xml:space="preserve"> </w:t>
            </w:r>
            <w:r>
              <w:rPr>
                <w:szCs w:val="24"/>
              </w:rPr>
              <w:t xml:space="preserve"> </w:t>
            </w:r>
          </w:p>
          <w:p w14:paraId="60566234" w14:textId="77777777" w:rsidR="00222FC2" w:rsidRDefault="00222FC2" w:rsidP="004F18B6">
            <w:pPr>
              <w:contextualSpacing/>
              <w:rPr>
                <w:szCs w:val="24"/>
              </w:rPr>
            </w:pPr>
          </w:p>
          <w:p w14:paraId="6D024BFD" w14:textId="77777777" w:rsidR="00222FC2" w:rsidRDefault="00222FC2" w:rsidP="004F18B6">
            <w:pPr>
              <w:contextualSpacing/>
              <w:jc w:val="both"/>
              <w:rPr>
                <w:szCs w:val="24"/>
              </w:rPr>
            </w:pPr>
            <w:r w:rsidRPr="002E1EA1">
              <w:rPr>
                <w:szCs w:val="24"/>
              </w:rPr>
              <w:t xml:space="preserve">For funding with options exercisable at the bank’s discretion, </w:t>
            </w:r>
            <w:r>
              <w:rPr>
                <w:szCs w:val="24"/>
              </w:rPr>
              <w:t>banks</w:t>
            </w:r>
            <w:r w:rsidRPr="002E1EA1">
              <w:rPr>
                <w:szCs w:val="24"/>
              </w:rPr>
              <w:t xml:space="preserve"> should </w:t>
            </w:r>
            <w:proofErr w:type="gramStart"/>
            <w:r w:rsidRPr="002E1EA1">
              <w:rPr>
                <w:szCs w:val="24"/>
              </w:rPr>
              <w:t>take into account</w:t>
            </w:r>
            <w:proofErr w:type="gramEnd"/>
            <w:r w:rsidRPr="002E1EA1">
              <w:rPr>
                <w:szCs w:val="24"/>
              </w:rPr>
              <w:t xml:space="preserve"> reputational factors that may limit </w:t>
            </w:r>
            <w:r>
              <w:rPr>
                <w:szCs w:val="24"/>
              </w:rPr>
              <w:t>their</w:t>
            </w:r>
            <w:r w:rsidRPr="002E1EA1">
              <w:rPr>
                <w:szCs w:val="24"/>
              </w:rPr>
              <w:t xml:space="preserve"> ability not to exercise the option</w:t>
            </w:r>
            <w:r>
              <w:rPr>
                <w:rStyle w:val="FootnoteReference"/>
                <w:szCs w:val="24"/>
              </w:rPr>
              <w:footnoteReference w:id="2"/>
            </w:r>
            <w:r w:rsidRPr="002E1EA1">
              <w:rPr>
                <w:szCs w:val="24"/>
              </w:rPr>
              <w:t xml:space="preserve">. </w:t>
            </w:r>
            <w:proofErr w:type="gramStart"/>
            <w:r w:rsidRPr="002E1EA1">
              <w:rPr>
                <w:szCs w:val="24"/>
              </w:rPr>
              <w:t>In particular, where</w:t>
            </w:r>
            <w:proofErr w:type="gramEnd"/>
            <w:r w:rsidRPr="002E1EA1">
              <w:rPr>
                <w:szCs w:val="24"/>
              </w:rPr>
              <w:t xml:space="preserve"> the market expects certain liabilities to be redeemed before their legal f</w:t>
            </w:r>
            <w:r>
              <w:rPr>
                <w:szCs w:val="24"/>
              </w:rPr>
              <w:t>i</w:t>
            </w:r>
            <w:r w:rsidRPr="002E1EA1">
              <w:rPr>
                <w:szCs w:val="24"/>
              </w:rPr>
              <w:t>nal maturity date, banks should assume such behaviour for the purpose of the NSFR and include these liabilities in the corresponding ASF category. Along the same lines, when calculating the NSFR, options by a bank to extend funding maturity of its obligations (e</w:t>
            </w:r>
            <w:r>
              <w:rPr>
                <w:szCs w:val="24"/>
              </w:rPr>
              <w:t>.</w:t>
            </w:r>
            <w:r w:rsidRPr="002E1EA1">
              <w:rPr>
                <w:szCs w:val="24"/>
              </w:rPr>
              <w:t>g</w:t>
            </w:r>
            <w:r>
              <w:rPr>
                <w:szCs w:val="24"/>
              </w:rPr>
              <w:t>.</w:t>
            </w:r>
            <w:r w:rsidRPr="002E1EA1">
              <w:rPr>
                <w:szCs w:val="24"/>
              </w:rPr>
              <w:t xml:space="preserve"> soft-bullet structures) should generally be assumed not to be exercised when there may be reputational concerns.</w:t>
            </w:r>
          </w:p>
          <w:p w14:paraId="0C2A26B8" w14:textId="77777777" w:rsidR="00222FC2" w:rsidRDefault="00222FC2" w:rsidP="004F18B6">
            <w:pPr>
              <w:contextualSpacing/>
              <w:rPr>
                <w:szCs w:val="24"/>
              </w:rPr>
            </w:pPr>
          </w:p>
          <w:p w14:paraId="481C136C" w14:textId="77777777" w:rsidR="00222FC2" w:rsidRDefault="00222FC2" w:rsidP="004F18B6">
            <w:pPr>
              <w:contextualSpacing/>
              <w:jc w:val="both"/>
              <w:rPr>
                <w:szCs w:val="24"/>
              </w:rPr>
            </w:pPr>
            <w:r w:rsidRPr="002E1EA1">
              <w:rPr>
                <w:szCs w:val="24"/>
              </w:rPr>
              <w:t>For long-dated liabilities, only the portion of cash f</w:t>
            </w:r>
            <w:r>
              <w:rPr>
                <w:szCs w:val="24"/>
              </w:rPr>
              <w:t>l</w:t>
            </w:r>
            <w:r w:rsidRPr="002E1EA1">
              <w:rPr>
                <w:szCs w:val="24"/>
              </w:rPr>
              <w:t>ows falling at or beyond the six-month and one-year time horizons should be treated as having an ef</w:t>
            </w:r>
            <w:r>
              <w:rPr>
                <w:szCs w:val="24"/>
              </w:rPr>
              <w:t>f</w:t>
            </w:r>
            <w:r w:rsidRPr="002E1EA1">
              <w:rPr>
                <w:szCs w:val="24"/>
              </w:rPr>
              <w:t>ective residual maturity of six months or more and one year or more, respectively.</w:t>
            </w:r>
          </w:p>
          <w:p w14:paraId="7821E102" w14:textId="77777777" w:rsidR="00222FC2" w:rsidRPr="0034020D" w:rsidRDefault="00222FC2" w:rsidP="004F18B6">
            <w:pPr>
              <w:rPr>
                <w:szCs w:val="24"/>
              </w:rPr>
            </w:pPr>
            <w:r>
              <w:rPr>
                <w:szCs w:val="24"/>
              </w:rPr>
              <w:br w:type="page"/>
            </w:r>
          </w:p>
        </w:tc>
      </w:tr>
      <w:tr w:rsidR="00222FC2" w14:paraId="3B67E26D" w14:textId="77777777" w:rsidTr="004F18B6">
        <w:trPr>
          <w:trHeight w:val="352"/>
        </w:trPr>
        <w:tc>
          <w:tcPr>
            <w:tcW w:w="988" w:type="dxa"/>
          </w:tcPr>
          <w:p w14:paraId="1E9BEED9" w14:textId="77777777" w:rsidR="00222FC2" w:rsidRPr="00E6642B" w:rsidRDefault="00222FC2" w:rsidP="004F18B6">
            <w:r>
              <w:t>ASF.1</w:t>
            </w:r>
          </w:p>
        </w:tc>
        <w:tc>
          <w:tcPr>
            <w:tcW w:w="7957" w:type="dxa"/>
          </w:tcPr>
          <w:p w14:paraId="5F26AB16" w14:textId="77777777" w:rsidR="00222FC2" w:rsidRPr="00AD59D8" w:rsidRDefault="00222FC2" w:rsidP="004F18B6">
            <w:pPr>
              <w:contextualSpacing/>
              <w:rPr>
                <w:rFonts w:ascii="Calibri" w:hAnsi="Calibri" w:cs="Calibri"/>
                <w:b/>
                <w:bCs/>
                <w:szCs w:val="24"/>
              </w:rPr>
            </w:pPr>
            <w:r>
              <w:rPr>
                <w:rFonts w:ascii="Calibri" w:hAnsi="Calibri" w:cs="Calibri"/>
                <w:b/>
                <w:bCs/>
                <w:szCs w:val="24"/>
              </w:rPr>
              <w:t>Total r</w:t>
            </w:r>
            <w:r w:rsidRPr="00AD59D8">
              <w:rPr>
                <w:rFonts w:ascii="Calibri" w:hAnsi="Calibri" w:cs="Calibri"/>
                <w:b/>
                <w:bCs/>
                <w:szCs w:val="24"/>
              </w:rPr>
              <w:t xml:space="preserve">egulatory </w:t>
            </w:r>
            <w:r>
              <w:rPr>
                <w:rFonts w:ascii="Calibri" w:hAnsi="Calibri" w:cs="Calibri"/>
                <w:b/>
                <w:bCs/>
                <w:szCs w:val="24"/>
              </w:rPr>
              <w:t>c</w:t>
            </w:r>
            <w:r w:rsidRPr="00AD59D8">
              <w:rPr>
                <w:rFonts w:ascii="Calibri" w:hAnsi="Calibri" w:cs="Calibri"/>
                <w:b/>
                <w:bCs/>
                <w:szCs w:val="24"/>
              </w:rPr>
              <w:t>apital</w:t>
            </w:r>
            <w:r>
              <w:rPr>
                <w:rFonts w:ascii="Calibri" w:hAnsi="Calibri" w:cs="Calibri"/>
                <w:b/>
                <w:bCs/>
                <w:szCs w:val="24"/>
              </w:rPr>
              <w:t xml:space="preserve"> (100% ASF factor)</w:t>
            </w:r>
          </w:p>
          <w:p w14:paraId="62D08E86" w14:textId="52BD7B02" w:rsidR="00222FC2" w:rsidRDefault="00222FC2" w:rsidP="00045774">
            <w:pPr>
              <w:contextualSpacing/>
              <w:jc w:val="both"/>
              <w:rPr>
                <w:rFonts w:ascii="Calibri" w:hAnsi="Calibri" w:cs="Calibri"/>
                <w:szCs w:val="24"/>
              </w:rPr>
            </w:pPr>
            <w:r>
              <w:rPr>
                <w:rFonts w:ascii="Calibri" w:hAnsi="Calibri" w:cs="Calibri"/>
                <w:szCs w:val="24"/>
              </w:rPr>
              <w:t xml:space="preserve">Report the total amount of regulatory capital (Tier 1 and Tier 2), before the application of capital deductions, but </w:t>
            </w:r>
            <w:r w:rsidRPr="004459E1">
              <w:rPr>
                <w:rFonts w:ascii="Calibri" w:hAnsi="Calibri" w:cs="Calibri"/>
                <w:szCs w:val="24"/>
                <w:u w:val="single"/>
              </w:rPr>
              <w:t>exclude</w:t>
            </w:r>
            <w:r>
              <w:rPr>
                <w:rFonts w:ascii="Calibri" w:hAnsi="Calibri" w:cs="Calibri"/>
                <w:szCs w:val="24"/>
              </w:rPr>
              <w:t xml:space="preserve"> any Tier 2 instruments with a residual maturity of less than one year. </w:t>
            </w:r>
          </w:p>
          <w:p w14:paraId="2C00F29B" w14:textId="77777777" w:rsidR="00045774" w:rsidRPr="00E13C44" w:rsidRDefault="00045774" w:rsidP="004F18B6">
            <w:pPr>
              <w:contextualSpacing/>
              <w:rPr>
                <w:rFonts w:ascii="Calibri" w:hAnsi="Calibri" w:cs="Calibri"/>
                <w:szCs w:val="24"/>
              </w:rPr>
            </w:pPr>
          </w:p>
        </w:tc>
      </w:tr>
    </w:tbl>
    <w:p w14:paraId="17A38112" w14:textId="77777777" w:rsidR="00045774" w:rsidRDefault="00045774">
      <w:r>
        <w:br w:type="page"/>
      </w:r>
    </w:p>
    <w:tbl>
      <w:tblPr>
        <w:tblStyle w:val="TableGrid"/>
        <w:tblW w:w="8945" w:type="dxa"/>
        <w:tblBorders>
          <w:top w:val="single" w:sz="4" w:space="0" w:color="775431"/>
          <w:left w:val="single" w:sz="4" w:space="0" w:color="775431"/>
          <w:bottom w:val="single" w:sz="4" w:space="0" w:color="775431"/>
          <w:right w:val="single" w:sz="4" w:space="0" w:color="775431"/>
          <w:insideH w:val="single" w:sz="4" w:space="0" w:color="775431"/>
          <w:insideV w:val="single" w:sz="4" w:space="0" w:color="775431"/>
        </w:tblBorders>
        <w:tblLook w:val="04A0" w:firstRow="1" w:lastRow="0" w:firstColumn="1" w:lastColumn="0" w:noHBand="0" w:noVBand="1"/>
      </w:tblPr>
      <w:tblGrid>
        <w:gridCol w:w="988"/>
        <w:gridCol w:w="7957"/>
      </w:tblGrid>
      <w:tr w:rsidR="00222FC2" w14:paraId="7B4D72CC" w14:textId="77777777" w:rsidTr="004F18B6">
        <w:trPr>
          <w:trHeight w:val="352"/>
        </w:trPr>
        <w:tc>
          <w:tcPr>
            <w:tcW w:w="988" w:type="dxa"/>
          </w:tcPr>
          <w:p w14:paraId="1B663954" w14:textId="2A339337" w:rsidR="00222FC2" w:rsidRPr="00E6642B" w:rsidRDefault="00222FC2" w:rsidP="004F18B6">
            <w:r>
              <w:lastRenderedPageBreak/>
              <w:t>ASF.2</w:t>
            </w:r>
          </w:p>
        </w:tc>
        <w:tc>
          <w:tcPr>
            <w:tcW w:w="7957" w:type="dxa"/>
          </w:tcPr>
          <w:p w14:paraId="3BB21B2A" w14:textId="2F608981" w:rsidR="00222FC2" w:rsidRDefault="00222FC2" w:rsidP="004F18B6">
            <w:pPr>
              <w:contextualSpacing/>
              <w:jc w:val="both"/>
              <w:rPr>
                <w:rFonts w:ascii="Calibri" w:hAnsi="Calibri" w:cs="Calibri"/>
                <w:b/>
                <w:bCs/>
                <w:szCs w:val="24"/>
              </w:rPr>
            </w:pPr>
            <w:r>
              <w:rPr>
                <w:rFonts w:ascii="Calibri" w:hAnsi="Calibri" w:cs="Calibri"/>
                <w:b/>
                <w:bCs/>
                <w:szCs w:val="24"/>
              </w:rPr>
              <w:t xml:space="preserve">Capital instruments not included in </w:t>
            </w:r>
            <w:r w:rsidRPr="004459E1">
              <w:rPr>
                <w:rFonts w:ascii="Calibri" w:hAnsi="Calibri" w:cs="Calibri"/>
                <w:b/>
                <w:bCs/>
                <w:szCs w:val="24"/>
              </w:rPr>
              <w:t>ASF.1,</w:t>
            </w:r>
            <w:r>
              <w:rPr>
                <w:rFonts w:ascii="Calibri" w:hAnsi="Calibri" w:cs="Calibri"/>
                <w:b/>
                <w:bCs/>
                <w:szCs w:val="24"/>
              </w:rPr>
              <w:t xml:space="preserve"> ≥</w:t>
            </w:r>
            <w:r w:rsidR="00E31D43">
              <w:rPr>
                <w:rFonts w:ascii="Calibri" w:hAnsi="Calibri" w:cs="Calibri"/>
                <w:b/>
                <w:bCs/>
                <w:szCs w:val="24"/>
              </w:rPr>
              <w:t>1-year</w:t>
            </w:r>
            <w:r>
              <w:rPr>
                <w:rFonts w:ascii="Calibri" w:hAnsi="Calibri" w:cs="Calibri"/>
                <w:b/>
                <w:bCs/>
                <w:szCs w:val="24"/>
              </w:rPr>
              <w:t xml:space="preserve"> residual maturity (100% ASF factor)</w:t>
            </w:r>
          </w:p>
          <w:p w14:paraId="3AC8F752" w14:textId="77777777" w:rsidR="00222FC2" w:rsidRDefault="00222FC2" w:rsidP="004F18B6">
            <w:pPr>
              <w:contextualSpacing/>
              <w:jc w:val="both"/>
              <w:rPr>
                <w:rFonts w:ascii="Calibri" w:hAnsi="Calibri" w:cs="Calibri"/>
                <w:szCs w:val="24"/>
              </w:rPr>
            </w:pPr>
            <w:r>
              <w:rPr>
                <w:rFonts w:ascii="Calibri" w:hAnsi="Calibri" w:cs="Calibri"/>
                <w:szCs w:val="24"/>
              </w:rPr>
              <w:t xml:space="preserve">Report the total amount of any capital instruments not included in </w:t>
            </w:r>
            <w:r w:rsidRPr="004459E1">
              <w:rPr>
                <w:rFonts w:ascii="Calibri" w:hAnsi="Calibri" w:cs="Calibri"/>
                <w:szCs w:val="24"/>
              </w:rPr>
              <w:t>ASF.1</w:t>
            </w:r>
            <w:r>
              <w:rPr>
                <w:rFonts w:ascii="Calibri" w:hAnsi="Calibri" w:cs="Calibri"/>
                <w:szCs w:val="24"/>
              </w:rPr>
              <w:t xml:space="preserve"> t</w:t>
            </w:r>
            <w:r w:rsidRPr="00F77572">
              <w:rPr>
                <w:rFonts w:ascii="Calibri" w:hAnsi="Calibri" w:cs="Calibri"/>
                <w:szCs w:val="24"/>
              </w:rPr>
              <w:t xml:space="preserve">hat </w:t>
            </w:r>
            <w:r>
              <w:rPr>
                <w:rFonts w:ascii="Calibri" w:hAnsi="Calibri" w:cs="Calibri"/>
                <w:szCs w:val="24"/>
              </w:rPr>
              <w:t>have</w:t>
            </w:r>
            <w:r w:rsidRPr="00F77572">
              <w:rPr>
                <w:rFonts w:ascii="Calibri" w:hAnsi="Calibri" w:cs="Calibri"/>
                <w:szCs w:val="24"/>
              </w:rPr>
              <w:t xml:space="preserve"> an effective residual maturity</w:t>
            </w:r>
            <w:r>
              <w:rPr>
                <w:rFonts w:ascii="Calibri" w:hAnsi="Calibri" w:cs="Calibri"/>
                <w:szCs w:val="24"/>
              </w:rPr>
              <w:t xml:space="preserve"> of one year or more but exclude any instruments with explicit or embedded options that, if exercised, would reduce the expected maturity to less than one year.</w:t>
            </w:r>
          </w:p>
          <w:p w14:paraId="4AC4CF31" w14:textId="77777777" w:rsidR="00222FC2" w:rsidRPr="00E13C44" w:rsidRDefault="00222FC2" w:rsidP="004F18B6">
            <w:pPr>
              <w:contextualSpacing/>
              <w:rPr>
                <w:rFonts w:ascii="Calibri" w:hAnsi="Calibri" w:cs="Calibri"/>
                <w:szCs w:val="24"/>
              </w:rPr>
            </w:pPr>
          </w:p>
        </w:tc>
      </w:tr>
      <w:tr w:rsidR="00222FC2" w14:paraId="7DD80157" w14:textId="77777777" w:rsidTr="004F18B6">
        <w:trPr>
          <w:trHeight w:val="352"/>
        </w:trPr>
        <w:tc>
          <w:tcPr>
            <w:tcW w:w="988" w:type="dxa"/>
          </w:tcPr>
          <w:p w14:paraId="653A00CE" w14:textId="77777777" w:rsidR="00222FC2" w:rsidRPr="00E6642B" w:rsidRDefault="00222FC2" w:rsidP="004F18B6">
            <w:r>
              <w:t>ASF.3</w:t>
            </w:r>
          </w:p>
        </w:tc>
        <w:tc>
          <w:tcPr>
            <w:tcW w:w="7957" w:type="dxa"/>
          </w:tcPr>
          <w:p w14:paraId="7D3DD30C" w14:textId="5E18FBDA" w:rsidR="00222FC2" w:rsidRDefault="00222FC2" w:rsidP="004F18B6">
            <w:pPr>
              <w:contextualSpacing/>
              <w:jc w:val="both"/>
              <w:rPr>
                <w:rFonts w:ascii="Calibri" w:hAnsi="Calibri" w:cs="Calibri"/>
                <w:b/>
                <w:bCs/>
                <w:szCs w:val="24"/>
                <w:lang w:val="en-US"/>
              </w:rPr>
            </w:pPr>
            <w:r>
              <w:rPr>
                <w:rFonts w:ascii="Calibri" w:hAnsi="Calibri" w:cs="Calibri"/>
                <w:b/>
                <w:bCs/>
                <w:szCs w:val="24"/>
                <w:lang w:val="en-US"/>
              </w:rPr>
              <w:t>S</w:t>
            </w:r>
            <w:r w:rsidRPr="00E3596B">
              <w:rPr>
                <w:rFonts w:ascii="Calibri" w:hAnsi="Calibri" w:cs="Calibri"/>
                <w:b/>
                <w:bCs/>
                <w:szCs w:val="24"/>
                <w:lang w:val="en-US"/>
              </w:rPr>
              <w:t>ecured and unsecured borrowings and liabilities (including term deposits)</w:t>
            </w:r>
            <w:r>
              <w:rPr>
                <w:rFonts w:ascii="Calibri" w:hAnsi="Calibri" w:cs="Calibri"/>
                <w:b/>
                <w:bCs/>
                <w:szCs w:val="24"/>
                <w:lang w:val="en-US"/>
              </w:rPr>
              <w:t xml:space="preserve">, </w:t>
            </w:r>
            <w:r>
              <w:rPr>
                <w:rFonts w:ascii="Calibri" w:hAnsi="Calibri" w:cs="Calibri"/>
                <w:b/>
                <w:bCs/>
                <w:szCs w:val="24"/>
              </w:rPr>
              <w:t>≥</w:t>
            </w:r>
            <w:r w:rsidR="00E31D43">
              <w:rPr>
                <w:rFonts w:ascii="Calibri" w:hAnsi="Calibri" w:cs="Calibri"/>
                <w:b/>
                <w:bCs/>
                <w:szCs w:val="24"/>
              </w:rPr>
              <w:t>1-year</w:t>
            </w:r>
            <w:r>
              <w:rPr>
                <w:rFonts w:ascii="Calibri" w:hAnsi="Calibri" w:cs="Calibri"/>
                <w:b/>
                <w:bCs/>
                <w:szCs w:val="24"/>
              </w:rPr>
              <w:t xml:space="preserve"> residual maturity</w:t>
            </w:r>
            <w:r>
              <w:rPr>
                <w:rFonts w:ascii="Calibri" w:hAnsi="Calibri" w:cs="Calibri"/>
                <w:b/>
                <w:bCs/>
                <w:szCs w:val="24"/>
                <w:lang w:val="en-US"/>
              </w:rPr>
              <w:t xml:space="preserve"> </w:t>
            </w:r>
            <w:r>
              <w:rPr>
                <w:rFonts w:ascii="Calibri" w:hAnsi="Calibri" w:cs="Calibri"/>
                <w:b/>
                <w:bCs/>
                <w:szCs w:val="24"/>
              </w:rPr>
              <w:t>(100% ASF factor)</w:t>
            </w:r>
          </w:p>
          <w:p w14:paraId="47D668FF" w14:textId="77777777" w:rsidR="00222FC2" w:rsidRDefault="00222FC2" w:rsidP="004F18B6">
            <w:pPr>
              <w:contextualSpacing/>
              <w:jc w:val="both"/>
              <w:rPr>
                <w:rFonts w:ascii="Calibri" w:hAnsi="Calibri" w:cs="Calibri"/>
                <w:szCs w:val="24"/>
                <w:lang w:val="en-US"/>
              </w:rPr>
            </w:pPr>
            <w:r>
              <w:rPr>
                <w:rFonts w:ascii="Calibri" w:hAnsi="Calibri" w:cs="Calibri"/>
                <w:szCs w:val="24"/>
                <w:lang w:val="en-US"/>
              </w:rPr>
              <w:t>Report the t</w:t>
            </w:r>
            <w:r w:rsidRPr="00B74588">
              <w:rPr>
                <w:rFonts w:ascii="Calibri" w:hAnsi="Calibri" w:cs="Calibri"/>
                <w:szCs w:val="24"/>
                <w:lang w:val="en-US"/>
              </w:rPr>
              <w:t>otal amount of secured and unsecured borrowings and liabilities (including term deposits)</w:t>
            </w:r>
            <w:r>
              <w:rPr>
                <w:rFonts w:ascii="Calibri" w:hAnsi="Calibri" w:cs="Calibri"/>
                <w:szCs w:val="24"/>
                <w:lang w:val="en-US"/>
              </w:rPr>
              <w:t xml:space="preserve"> w</w:t>
            </w:r>
            <w:r w:rsidRPr="00E3596B">
              <w:rPr>
                <w:rFonts w:ascii="Calibri" w:hAnsi="Calibri" w:cs="Calibri"/>
                <w:szCs w:val="24"/>
                <w:lang w:val="en-US"/>
              </w:rPr>
              <w:t>ith effective residual maturities of one year or more.</w:t>
            </w:r>
            <w:r>
              <w:rPr>
                <w:rFonts w:ascii="Calibri" w:hAnsi="Calibri" w:cs="Calibri"/>
                <w:szCs w:val="24"/>
                <w:lang w:val="en-US"/>
              </w:rPr>
              <w:t xml:space="preserve">  </w:t>
            </w:r>
          </w:p>
          <w:p w14:paraId="0786DF5F" w14:textId="77777777" w:rsidR="00222FC2" w:rsidRDefault="00222FC2" w:rsidP="004F18B6">
            <w:pPr>
              <w:contextualSpacing/>
              <w:jc w:val="both"/>
              <w:rPr>
                <w:rFonts w:ascii="Calibri" w:hAnsi="Calibri" w:cs="Calibri"/>
                <w:szCs w:val="24"/>
                <w:lang w:val="en-US"/>
              </w:rPr>
            </w:pPr>
          </w:p>
          <w:p w14:paraId="5C340618" w14:textId="77777777" w:rsidR="00222FC2" w:rsidRDefault="00222FC2" w:rsidP="004F18B6">
            <w:pPr>
              <w:contextualSpacing/>
              <w:jc w:val="both"/>
              <w:rPr>
                <w:rFonts w:ascii="Calibri" w:hAnsi="Calibri" w:cs="Calibri"/>
                <w:szCs w:val="24"/>
                <w:lang w:val="en-US"/>
              </w:rPr>
            </w:pPr>
            <w:r>
              <w:rPr>
                <w:rFonts w:ascii="Calibri" w:hAnsi="Calibri" w:cs="Calibri"/>
                <w:szCs w:val="24"/>
                <w:lang w:val="en-US"/>
              </w:rPr>
              <w:t>Note that any term deposits (funding) with effective maturity of one year or more from retail and non-financial small businesses should be reported in Items ASF.4 or ASF.5 as applicable.</w:t>
            </w:r>
          </w:p>
          <w:p w14:paraId="52DAA49A" w14:textId="77777777" w:rsidR="00222FC2" w:rsidRDefault="00222FC2" w:rsidP="004F18B6">
            <w:pPr>
              <w:contextualSpacing/>
              <w:jc w:val="both"/>
              <w:rPr>
                <w:rFonts w:ascii="Calibri" w:hAnsi="Calibri" w:cs="Calibri"/>
                <w:szCs w:val="24"/>
                <w:lang w:val="en-US"/>
              </w:rPr>
            </w:pPr>
          </w:p>
          <w:p w14:paraId="28E998A4" w14:textId="77777777" w:rsidR="00222FC2" w:rsidRDefault="00222FC2" w:rsidP="004F18B6">
            <w:pPr>
              <w:contextualSpacing/>
              <w:jc w:val="both"/>
              <w:rPr>
                <w:rFonts w:ascii="Calibri" w:hAnsi="Calibri" w:cs="Calibri"/>
                <w:szCs w:val="24"/>
                <w:lang w:val="en-US"/>
              </w:rPr>
            </w:pPr>
            <w:r w:rsidRPr="00D87E4C">
              <w:rPr>
                <w:rFonts w:ascii="Calibri" w:hAnsi="Calibri" w:cs="Calibri"/>
                <w:szCs w:val="24"/>
                <w:lang w:val="en-US"/>
              </w:rPr>
              <w:t>Cash flows falling below the one-year horizon but arising from liabilities with a final maturity greater than one year do not qualify for the 100% ASF factor.</w:t>
            </w:r>
            <w:r>
              <w:rPr>
                <w:rFonts w:ascii="Calibri" w:hAnsi="Calibri" w:cs="Calibri"/>
                <w:szCs w:val="24"/>
                <w:lang w:val="en-US"/>
              </w:rPr>
              <w:t xml:space="preserve"> </w:t>
            </w:r>
          </w:p>
          <w:p w14:paraId="24918640" w14:textId="77777777" w:rsidR="00222FC2" w:rsidRDefault="00222FC2" w:rsidP="004F18B6">
            <w:pPr>
              <w:contextualSpacing/>
              <w:jc w:val="both"/>
            </w:pPr>
          </w:p>
        </w:tc>
      </w:tr>
      <w:tr w:rsidR="00222FC2" w14:paraId="56178ACF" w14:textId="77777777" w:rsidTr="004F18B6">
        <w:trPr>
          <w:trHeight w:val="352"/>
        </w:trPr>
        <w:tc>
          <w:tcPr>
            <w:tcW w:w="988" w:type="dxa"/>
          </w:tcPr>
          <w:p w14:paraId="62B85A5E" w14:textId="77777777" w:rsidR="00222FC2" w:rsidRPr="00E6642B" w:rsidRDefault="00222FC2" w:rsidP="004F18B6">
            <w:r>
              <w:t>ASF.4</w:t>
            </w:r>
          </w:p>
        </w:tc>
        <w:tc>
          <w:tcPr>
            <w:tcW w:w="7957" w:type="dxa"/>
          </w:tcPr>
          <w:p w14:paraId="556FBA6A" w14:textId="77777777" w:rsidR="00222FC2" w:rsidRDefault="00222FC2" w:rsidP="004F18B6">
            <w:pPr>
              <w:contextualSpacing/>
              <w:jc w:val="both"/>
              <w:rPr>
                <w:rFonts w:ascii="Calibri" w:hAnsi="Calibri" w:cs="Calibri"/>
                <w:b/>
                <w:bCs/>
                <w:szCs w:val="24"/>
              </w:rPr>
            </w:pPr>
            <w:r>
              <w:rPr>
                <w:rFonts w:ascii="Calibri" w:hAnsi="Calibri" w:cs="Calibri"/>
                <w:b/>
                <w:bCs/>
                <w:szCs w:val="24"/>
              </w:rPr>
              <w:t>Retail and non-financial small business stable deposits (95% or 100% ASF factor)</w:t>
            </w:r>
          </w:p>
          <w:p w14:paraId="0F805DE1" w14:textId="7F943CF5" w:rsidR="00222FC2" w:rsidRPr="008107B4" w:rsidRDefault="00222FC2" w:rsidP="004F18B6">
            <w:pPr>
              <w:contextualSpacing/>
              <w:rPr>
                <w:rFonts w:ascii="Calibri" w:hAnsi="Calibri" w:cs="Calibri"/>
                <w:szCs w:val="24"/>
                <w:u w:val="single"/>
              </w:rPr>
            </w:pPr>
            <w:r>
              <w:rPr>
                <w:rFonts w:ascii="Calibri" w:hAnsi="Calibri" w:cs="Calibri"/>
                <w:szCs w:val="24"/>
                <w:u w:val="single"/>
              </w:rPr>
              <w:t xml:space="preserve">Under 6 months maturity, and 6 months to less than </w:t>
            </w:r>
            <w:r w:rsidR="00E31D43">
              <w:rPr>
                <w:rFonts w:ascii="Calibri" w:hAnsi="Calibri" w:cs="Calibri"/>
                <w:szCs w:val="24"/>
                <w:u w:val="single"/>
              </w:rPr>
              <w:t>1-year</w:t>
            </w:r>
            <w:r>
              <w:rPr>
                <w:rFonts w:ascii="Calibri" w:hAnsi="Calibri" w:cs="Calibri"/>
                <w:szCs w:val="24"/>
                <w:u w:val="single"/>
              </w:rPr>
              <w:t xml:space="preserve"> residual maturity (95% ASF factor)</w:t>
            </w:r>
          </w:p>
          <w:p w14:paraId="4A9E2FA5" w14:textId="45D35941" w:rsidR="00222FC2" w:rsidRDefault="00222FC2" w:rsidP="004F18B6">
            <w:pPr>
              <w:contextualSpacing/>
              <w:jc w:val="both"/>
              <w:rPr>
                <w:rFonts w:ascii="Calibri" w:hAnsi="Calibri" w:cs="Calibri"/>
                <w:szCs w:val="24"/>
              </w:rPr>
            </w:pPr>
            <w:r w:rsidRPr="008107B4">
              <w:rPr>
                <w:rFonts w:ascii="Calibri" w:hAnsi="Calibri" w:cs="Calibri"/>
                <w:szCs w:val="24"/>
              </w:rPr>
              <w:t xml:space="preserve">Report stable retail deposits </w:t>
            </w:r>
            <w:r w:rsidR="000B009A">
              <w:rPr>
                <w:rFonts w:ascii="Calibri" w:hAnsi="Calibri" w:cs="Calibri"/>
                <w:szCs w:val="24"/>
              </w:rPr>
              <w:t xml:space="preserve">and deposits from small business customers </w:t>
            </w:r>
            <w:r w:rsidRPr="008107B4">
              <w:rPr>
                <w:rFonts w:ascii="Calibri" w:hAnsi="Calibri" w:cs="Calibri"/>
                <w:szCs w:val="24"/>
              </w:rPr>
              <w:t>(as defined for LCR purposes) that are on demand or are term deposits with residual maturities of less than one year, in the applicable maturity bucket</w:t>
            </w:r>
            <w:r>
              <w:rPr>
                <w:rFonts w:ascii="Calibri" w:hAnsi="Calibri" w:cs="Calibri"/>
                <w:szCs w:val="24"/>
              </w:rPr>
              <w:t xml:space="preserve"> (under 6 months, or 6 months to 1 year)</w:t>
            </w:r>
            <w:r w:rsidRPr="008107B4">
              <w:rPr>
                <w:rFonts w:ascii="Calibri" w:hAnsi="Calibri" w:cs="Calibri"/>
                <w:szCs w:val="24"/>
              </w:rPr>
              <w:t>.</w:t>
            </w:r>
          </w:p>
          <w:p w14:paraId="31969B8B" w14:textId="77777777" w:rsidR="00222FC2" w:rsidRDefault="00222FC2" w:rsidP="004F18B6">
            <w:pPr>
              <w:contextualSpacing/>
              <w:jc w:val="both"/>
              <w:rPr>
                <w:rFonts w:ascii="Calibri" w:hAnsi="Calibri" w:cs="Calibri"/>
                <w:szCs w:val="24"/>
              </w:rPr>
            </w:pPr>
          </w:p>
          <w:p w14:paraId="79D9EBB9" w14:textId="77777777" w:rsidR="00222FC2" w:rsidRDefault="00222FC2" w:rsidP="004F18B6">
            <w:pPr>
              <w:contextualSpacing/>
              <w:jc w:val="both"/>
              <w:rPr>
                <w:rFonts w:ascii="Calibri" w:hAnsi="Calibri" w:cs="Calibri"/>
                <w:szCs w:val="24"/>
              </w:rPr>
            </w:pPr>
            <w:r>
              <w:rPr>
                <w:rFonts w:ascii="Calibri" w:hAnsi="Calibri" w:cs="Calibri"/>
                <w:szCs w:val="24"/>
              </w:rPr>
              <w:t xml:space="preserve">Also include stable retail and small business term deposits with residual maturities greater than one year if they </w:t>
            </w:r>
            <w:r w:rsidRPr="00E31D43">
              <w:rPr>
                <w:rFonts w:ascii="Calibri" w:hAnsi="Calibri" w:cs="Calibri"/>
                <w:b/>
                <w:bCs/>
                <w:i/>
                <w:iCs/>
                <w:szCs w:val="24"/>
              </w:rPr>
              <w:t>can be</w:t>
            </w:r>
            <w:r>
              <w:rPr>
                <w:rFonts w:ascii="Calibri" w:hAnsi="Calibri" w:cs="Calibri"/>
                <w:szCs w:val="24"/>
              </w:rPr>
              <w:t xml:space="preserve"> </w:t>
            </w:r>
            <w:r w:rsidRPr="008107B4">
              <w:rPr>
                <w:rFonts w:ascii="Calibri" w:hAnsi="Calibri" w:cs="Calibri"/>
                <w:b/>
                <w:bCs/>
                <w:i/>
                <w:iCs/>
                <w:szCs w:val="24"/>
              </w:rPr>
              <w:t>withdrawn early without a significant penalty</w:t>
            </w:r>
            <w:r>
              <w:rPr>
                <w:rFonts w:ascii="Calibri" w:hAnsi="Calibri" w:cs="Calibri"/>
                <w:szCs w:val="24"/>
              </w:rPr>
              <w:t xml:space="preserve"> – in this case they should be included in the less than 6 months’ maturity column.</w:t>
            </w:r>
          </w:p>
          <w:p w14:paraId="38351C4E" w14:textId="77777777" w:rsidR="00222FC2" w:rsidRDefault="00222FC2" w:rsidP="004F18B6">
            <w:pPr>
              <w:contextualSpacing/>
              <w:rPr>
                <w:rFonts w:ascii="Calibri" w:hAnsi="Calibri" w:cs="Calibri"/>
                <w:b/>
                <w:bCs/>
                <w:szCs w:val="24"/>
              </w:rPr>
            </w:pPr>
          </w:p>
          <w:p w14:paraId="688BBF2A" w14:textId="2815C056" w:rsidR="00222FC2" w:rsidRPr="008107B4" w:rsidRDefault="00222FC2" w:rsidP="004F18B6">
            <w:pPr>
              <w:contextualSpacing/>
              <w:rPr>
                <w:rFonts w:ascii="Calibri" w:hAnsi="Calibri" w:cs="Calibri"/>
                <w:szCs w:val="24"/>
                <w:u w:val="single"/>
              </w:rPr>
            </w:pPr>
            <w:r w:rsidRPr="008107B4">
              <w:rPr>
                <w:rFonts w:ascii="Calibri" w:hAnsi="Calibri" w:cs="Calibri"/>
                <w:szCs w:val="24"/>
                <w:u w:val="single"/>
              </w:rPr>
              <w:t xml:space="preserve">More than </w:t>
            </w:r>
            <w:r w:rsidR="00E31D43" w:rsidRPr="008107B4">
              <w:rPr>
                <w:rFonts w:ascii="Calibri" w:hAnsi="Calibri" w:cs="Calibri"/>
                <w:szCs w:val="24"/>
                <w:u w:val="single"/>
              </w:rPr>
              <w:t>1-year</w:t>
            </w:r>
            <w:r w:rsidRPr="008107B4">
              <w:rPr>
                <w:rFonts w:ascii="Calibri" w:hAnsi="Calibri" w:cs="Calibri"/>
                <w:szCs w:val="24"/>
                <w:u w:val="single"/>
              </w:rPr>
              <w:t xml:space="preserve"> residual maturity</w:t>
            </w:r>
            <w:r>
              <w:rPr>
                <w:rFonts w:ascii="Calibri" w:hAnsi="Calibri" w:cs="Calibri"/>
                <w:szCs w:val="24"/>
                <w:u w:val="single"/>
              </w:rPr>
              <w:t xml:space="preserve"> (100% ASF factor)</w:t>
            </w:r>
          </w:p>
          <w:p w14:paraId="54319E80" w14:textId="0EE066F4" w:rsidR="00222FC2" w:rsidRDefault="00222FC2" w:rsidP="004F18B6">
            <w:pPr>
              <w:contextualSpacing/>
              <w:jc w:val="both"/>
              <w:rPr>
                <w:rFonts w:ascii="Calibri" w:hAnsi="Calibri" w:cs="Calibri"/>
                <w:szCs w:val="24"/>
              </w:rPr>
            </w:pPr>
            <w:r>
              <w:rPr>
                <w:rFonts w:ascii="Calibri" w:hAnsi="Calibri" w:cs="Calibri"/>
                <w:szCs w:val="24"/>
              </w:rPr>
              <w:t xml:space="preserve">Include only </w:t>
            </w:r>
            <w:r w:rsidRPr="008107B4">
              <w:rPr>
                <w:rFonts w:ascii="Calibri" w:hAnsi="Calibri" w:cs="Calibri"/>
                <w:szCs w:val="24"/>
              </w:rPr>
              <w:t xml:space="preserve">stable retail deposits </w:t>
            </w:r>
            <w:r w:rsidR="000B009A">
              <w:rPr>
                <w:rFonts w:ascii="Calibri" w:hAnsi="Calibri" w:cs="Calibri"/>
                <w:szCs w:val="24"/>
              </w:rPr>
              <w:t xml:space="preserve">and deposits from small business customers </w:t>
            </w:r>
            <w:r w:rsidRPr="008107B4">
              <w:rPr>
                <w:rFonts w:ascii="Calibri" w:hAnsi="Calibri" w:cs="Calibri"/>
                <w:szCs w:val="24"/>
              </w:rPr>
              <w:t>(as defined for LCR purposes)</w:t>
            </w:r>
            <w:r>
              <w:rPr>
                <w:rFonts w:ascii="Calibri" w:hAnsi="Calibri" w:cs="Calibri"/>
                <w:szCs w:val="24"/>
              </w:rPr>
              <w:t xml:space="preserve"> </w:t>
            </w:r>
            <w:r w:rsidRPr="008107B4">
              <w:rPr>
                <w:rFonts w:ascii="Calibri" w:hAnsi="Calibri" w:cs="Calibri"/>
                <w:szCs w:val="24"/>
              </w:rPr>
              <w:t xml:space="preserve">that </w:t>
            </w:r>
            <w:r>
              <w:rPr>
                <w:rFonts w:ascii="Calibri" w:hAnsi="Calibri" w:cs="Calibri"/>
                <w:szCs w:val="24"/>
              </w:rPr>
              <w:t>have a residual maturity greater than one year</w:t>
            </w:r>
            <w:r w:rsidRPr="008107B4">
              <w:rPr>
                <w:rFonts w:ascii="Calibri" w:hAnsi="Calibri" w:cs="Calibri"/>
                <w:szCs w:val="24"/>
              </w:rPr>
              <w:t>,</w:t>
            </w:r>
            <w:r>
              <w:rPr>
                <w:rFonts w:ascii="Calibri" w:hAnsi="Calibri" w:cs="Calibri"/>
                <w:szCs w:val="24"/>
              </w:rPr>
              <w:t xml:space="preserve"> p</w:t>
            </w:r>
            <w:r w:rsidRPr="009D4EE7">
              <w:rPr>
                <w:rFonts w:ascii="Calibri" w:hAnsi="Calibri" w:cs="Calibri"/>
                <w:szCs w:val="24"/>
              </w:rPr>
              <w:t xml:space="preserve">rovided </w:t>
            </w:r>
            <w:r>
              <w:rPr>
                <w:rFonts w:ascii="Calibri" w:hAnsi="Calibri" w:cs="Calibri"/>
                <w:szCs w:val="24"/>
              </w:rPr>
              <w:t xml:space="preserve">such deposits </w:t>
            </w:r>
            <w:r w:rsidRPr="00E31D43">
              <w:rPr>
                <w:rFonts w:ascii="Calibri" w:hAnsi="Calibri" w:cs="Calibri"/>
                <w:b/>
                <w:bCs/>
                <w:i/>
                <w:iCs/>
                <w:szCs w:val="24"/>
              </w:rPr>
              <w:t>cannot</w:t>
            </w:r>
            <w:r>
              <w:rPr>
                <w:rFonts w:ascii="Calibri" w:hAnsi="Calibri" w:cs="Calibri"/>
                <w:szCs w:val="24"/>
              </w:rPr>
              <w:t xml:space="preserve"> be withdrawn early without significant penalty (otherwise they must be included as specified above, with a 95% ASF factor applying).</w:t>
            </w:r>
          </w:p>
          <w:p w14:paraId="0E9A7217" w14:textId="77777777" w:rsidR="00222FC2" w:rsidRDefault="00222FC2" w:rsidP="004F18B6">
            <w:pPr>
              <w:jc w:val="both"/>
            </w:pPr>
          </w:p>
        </w:tc>
      </w:tr>
      <w:tr w:rsidR="00222FC2" w14:paraId="74F75DFF" w14:textId="77777777" w:rsidTr="004F18B6">
        <w:trPr>
          <w:trHeight w:val="352"/>
        </w:trPr>
        <w:tc>
          <w:tcPr>
            <w:tcW w:w="988" w:type="dxa"/>
          </w:tcPr>
          <w:p w14:paraId="603518B7" w14:textId="77777777" w:rsidR="00222FC2" w:rsidRPr="00E6642B" w:rsidRDefault="00222FC2" w:rsidP="004F18B6">
            <w:r>
              <w:t>ASF.5</w:t>
            </w:r>
          </w:p>
        </w:tc>
        <w:tc>
          <w:tcPr>
            <w:tcW w:w="7957" w:type="dxa"/>
          </w:tcPr>
          <w:p w14:paraId="7002056F" w14:textId="77777777" w:rsidR="00222FC2" w:rsidRDefault="00222FC2" w:rsidP="004F18B6">
            <w:pPr>
              <w:contextualSpacing/>
              <w:rPr>
                <w:rFonts w:ascii="Calibri" w:hAnsi="Calibri" w:cs="Calibri"/>
                <w:b/>
                <w:bCs/>
                <w:szCs w:val="24"/>
              </w:rPr>
            </w:pPr>
            <w:r>
              <w:rPr>
                <w:rFonts w:ascii="Calibri" w:hAnsi="Calibri" w:cs="Calibri"/>
                <w:b/>
                <w:bCs/>
                <w:szCs w:val="24"/>
              </w:rPr>
              <w:t xml:space="preserve">Retail and non-financial small business </w:t>
            </w:r>
            <w:proofErr w:type="gramStart"/>
            <w:r w:rsidRPr="00AC37FF">
              <w:rPr>
                <w:rFonts w:ascii="Calibri" w:hAnsi="Calibri" w:cs="Calibri"/>
                <w:b/>
                <w:bCs/>
                <w:szCs w:val="24"/>
              </w:rPr>
              <w:t>less</w:t>
            </w:r>
            <w:proofErr w:type="gramEnd"/>
            <w:r w:rsidRPr="00AC37FF">
              <w:rPr>
                <w:rFonts w:ascii="Calibri" w:hAnsi="Calibri" w:cs="Calibri"/>
                <w:b/>
                <w:bCs/>
                <w:szCs w:val="24"/>
              </w:rPr>
              <w:t xml:space="preserve"> stable deposits (90% or 100% ASF </w:t>
            </w:r>
            <w:r>
              <w:rPr>
                <w:rFonts w:ascii="Calibri" w:hAnsi="Calibri" w:cs="Calibri"/>
                <w:b/>
                <w:bCs/>
                <w:szCs w:val="24"/>
              </w:rPr>
              <w:t>f</w:t>
            </w:r>
            <w:r w:rsidRPr="00AC37FF">
              <w:rPr>
                <w:rFonts w:ascii="Calibri" w:hAnsi="Calibri" w:cs="Calibri"/>
                <w:b/>
                <w:bCs/>
                <w:szCs w:val="24"/>
              </w:rPr>
              <w:t>actor)</w:t>
            </w:r>
          </w:p>
          <w:p w14:paraId="057710F3" w14:textId="798C09C9" w:rsidR="00222FC2" w:rsidRPr="008107B4" w:rsidRDefault="00222FC2" w:rsidP="004F18B6">
            <w:pPr>
              <w:contextualSpacing/>
              <w:rPr>
                <w:rFonts w:ascii="Calibri" w:hAnsi="Calibri" w:cs="Calibri"/>
                <w:szCs w:val="24"/>
                <w:u w:val="single"/>
              </w:rPr>
            </w:pPr>
            <w:r>
              <w:rPr>
                <w:rFonts w:ascii="Calibri" w:hAnsi="Calibri" w:cs="Calibri"/>
                <w:szCs w:val="24"/>
                <w:u w:val="single"/>
              </w:rPr>
              <w:t xml:space="preserve">Under 6 months maturity, and 6 months to less than </w:t>
            </w:r>
            <w:r w:rsidR="00E31D43">
              <w:rPr>
                <w:rFonts w:ascii="Calibri" w:hAnsi="Calibri" w:cs="Calibri"/>
                <w:szCs w:val="24"/>
                <w:u w:val="single"/>
              </w:rPr>
              <w:t>1-year</w:t>
            </w:r>
            <w:r>
              <w:rPr>
                <w:rFonts w:ascii="Calibri" w:hAnsi="Calibri" w:cs="Calibri"/>
                <w:szCs w:val="24"/>
                <w:u w:val="single"/>
              </w:rPr>
              <w:t xml:space="preserve"> residual maturity (90% ASF factor)</w:t>
            </w:r>
          </w:p>
          <w:p w14:paraId="43D1E656" w14:textId="285A1D66" w:rsidR="00222FC2" w:rsidRDefault="00222FC2" w:rsidP="004F18B6">
            <w:pPr>
              <w:contextualSpacing/>
              <w:jc w:val="both"/>
              <w:rPr>
                <w:rFonts w:ascii="Calibri" w:hAnsi="Calibri" w:cs="Calibri"/>
                <w:szCs w:val="24"/>
              </w:rPr>
            </w:pPr>
            <w:r w:rsidRPr="008107B4">
              <w:rPr>
                <w:rFonts w:ascii="Calibri" w:hAnsi="Calibri" w:cs="Calibri"/>
                <w:szCs w:val="24"/>
              </w:rPr>
              <w:t xml:space="preserve">Report </w:t>
            </w:r>
            <w:r>
              <w:rPr>
                <w:rFonts w:ascii="Calibri" w:hAnsi="Calibri" w:cs="Calibri"/>
                <w:szCs w:val="24"/>
              </w:rPr>
              <w:t xml:space="preserve">less </w:t>
            </w:r>
            <w:r w:rsidRPr="008107B4">
              <w:rPr>
                <w:rFonts w:ascii="Calibri" w:hAnsi="Calibri" w:cs="Calibri"/>
                <w:szCs w:val="24"/>
              </w:rPr>
              <w:t xml:space="preserve">stable retail deposits </w:t>
            </w:r>
            <w:r w:rsidR="001A0CEB">
              <w:rPr>
                <w:rFonts w:ascii="Calibri" w:hAnsi="Calibri" w:cs="Calibri"/>
                <w:szCs w:val="24"/>
              </w:rPr>
              <w:t xml:space="preserve">and deposits from small business customers </w:t>
            </w:r>
            <w:r w:rsidRPr="008107B4">
              <w:rPr>
                <w:rFonts w:ascii="Calibri" w:hAnsi="Calibri" w:cs="Calibri"/>
                <w:szCs w:val="24"/>
              </w:rPr>
              <w:t>(as defined for LCR purposes)</w:t>
            </w:r>
            <w:r>
              <w:rPr>
                <w:rFonts w:ascii="Calibri" w:hAnsi="Calibri" w:cs="Calibri"/>
                <w:szCs w:val="24"/>
              </w:rPr>
              <w:t xml:space="preserve"> </w:t>
            </w:r>
            <w:r w:rsidRPr="008107B4">
              <w:rPr>
                <w:rFonts w:ascii="Calibri" w:hAnsi="Calibri" w:cs="Calibri"/>
                <w:szCs w:val="24"/>
              </w:rPr>
              <w:t xml:space="preserve">that are on demand or are term deposits with residual </w:t>
            </w:r>
            <w:r w:rsidRPr="008107B4">
              <w:rPr>
                <w:rFonts w:ascii="Calibri" w:hAnsi="Calibri" w:cs="Calibri"/>
                <w:szCs w:val="24"/>
              </w:rPr>
              <w:lastRenderedPageBreak/>
              <w:t>maturities of less than one year, in the applicable maturity bucket</w:t>
            </w:r>
            <w:r>
              <w:rPr>
                <w:rFonts w:ascii="Calibri" w:hAnsi="Calibri" w:cs="Calibri"/>
                <w:szCs w:val="24"/>
              </w:rPr>
              <w:t xml:space="preserve"> (under 6 months, or 6 months to 1 year)</w:t>
            </w:r>
            <w:r w:rsidRPr="008107B4">
              <w:rPr>
                <w:rFonts w:ascii="Calibri" w:hAnsi="Calibri" w:cs="Calibri"/>
                <w:szCs w:val="24"/>
              </w:rPr>
              <w:t>.</w:t>
            </w:r>
          </w:p>
          <w:p w14:paraId="667E4396" w14:textId="77777777" w:rsidR="00222FC2" w:rsidRDefault="00222FC2" w:rsidP="004F18B6">
            <w:pPr>
              <w:contextualSpacing/>
              <w:jc w:val="both"/>
              <w:rPr>
                <w:rFonts w:ascii="Calibri" w:hAnsi="Calibri" w:cs="Calibri"/>
                <w:szCs w:val="24"/>
              </w:rPr>
            </w:pPr>
          </w:p>
          <w:p w14:paraId="14F3C33C" w14:textId="77777777" w:rsidR="00222FC2" w:rsidRDefault="00222FC2" w:rsidP="004F18B6">
            <w:pPr>
              <w:contextualSpacing/>
              <w:jc w:val="both"/>
              <w:rPr>
                <w:rFonts w:ascii="Calibri" w:hAnsi="Calibri" w:cs="Calibri"/>
                <w:szCs w:val="24"/>
              </w:rPr>
            </w:pPr>
            <w:r>
              <w:rPr>
                <w:rFonts w:ascii="Calibri" w:hAnsi="Calibri" w:cs="Calibri"/>
                <w:szCs w:val="24"/>
              </w:rPr>
              <w:t xml:space="preserve">Also include less stable retail and small business term deposits with residual maturities greater than one year if they </w:t>
            </w:r>
            <w:r w:rsidRPr="00E31D43">
              <w:rPr>
                <w:rFonts w:ascii="Calibri" w:hAnsi="Calibri" w:cs="Calibri"/>
                <w:b/>
                <w:bCs/>
                <w:i/>
                <w:iCs/>
                <w:szCs w:val="24"/>
              </w:rPr>
              <w:t>can be</w:t>
            </w:r>
            <w:r>
              <w:rPr>
                <w:rFonts w:ascii="Calibri" w:hAnsi="Calibri" w:cs="Calibri"/>
                <w:szCs w:val="24"/>
              </w:rPr>
              <w:t xml:space="preserve"> </w:t>
            </w:r>
            <w:r w:rsidRPr="008107B4">
              <w:rPr>
                <w:rFonts w:ascii="Calibri" w:hAnsi="Calibri" w:cs="Calibri"/>
                <w:b/>
                <w:bCs/>
                <w:i/>
                <w:iCs/>
                <w:szCs w:val="24"/>
              </w:rPr>
              <w:t>withdrawn early without a significant penalty</w:t>
            </w:r>
            <w:r>
              <w:rPr>
                <w:rFonts w:ascii="Calibri" w:hAnsi="Calibri" w:cs="Calibri"/>
                <w:szCs w:val="24"/>
              </w:rPr>
              <w:t xml:space="preserve"> – in this case they should be included in the less than 6 months’ maturity column.</w:t>
            </w:r>
          </w:p>
          <w:p w14:paraId="6695A44B" w14:textId="77777777" w:rsidR="00222FC2" w:rsidRDefault="00222FC2" w:rsidP="004F18B6">
            <w:pPr>
              <w:contextualSpacing/>
              <w:rPr>
                <w:rFonts w:ascii="Calibri" w:hAnsi="Calibri" w:cs="Calibri"/>
                <w:b/>
                <w:bCs/>
                <w:szCs w:val="24"/>
              </w:rPr>
            </w:pPr>
          </w:p>
          <w:p w14:paraId="15CCC6BD" w14:textId="56CC8E01" w:rsidR="00222FC2" w:rsidRPr="008107B4" w:rsidRDefault="00222FC2" w:rsidP="004F18B6">
            <w:pPr>
              <w:contextualSpacing/>
              <w:rPr>
                <w:rFonts w:ascii="Calibri" w:hAnsi="Calibri" w:cs="Calibri"/>
                <w:szCs w:val="24"/>
                <w:u w:val="single"/>
              </w:rPr>
            </w:pPr>
            <w:r w:rsidRPr="008107B4">
              <w:rPr>
                <w:rFonts w:ascii="Calibri" w:hAnsi="Calibri" w:cs="Calibri"/>
                <w:szCs w:val="24"/>
                <w:u w:val="single"/>
              </w:rPr>
              <w:t xml:space="preserve">More than </w:t>
            </w:r>
            <w:r w:rsidR="00E31D43" w:rsidRPr="008107B4">
              <w:rPr>
                <w:rFonts w:ascii="Calibri" w:hAnsi="Calibri" w:cs="Calibri"/>
                <w:szCs w:val="24"/>
                <w:u w:val="single"/>
              </w:rPr>
              <w:t>1-year</w:t>
            </w:r>
            <w:r w:rsidRPr="008107B4">
              <w:rPr>
                <w:rFonts w:ascii="Calibri" w:hAnsi="Calibri" w:cs="Calibri"/>
                <w:szCs w:val="24"/>
                <w:u w:val="single"/>
              </w:rPr>
              <w:t xml:space="preserve"> residual maturity</w:t>
            </w:r>
            <w:r>
              <w:rPr>
                <w:rFonts w:ascii="Calibri" w:hAnsi="Calibri" w:cs="Calibri"/>
                <w:szCs w:val="24"/>
                <w:u w:val="single"/>
              </w:rPr>
              <w:t xml:space="preserve"> (100% ASF factor)</w:t>
            </w:r>
          </w:p>
          <w:p w14:paraId="6BF0ECF1" w14:textId="78E28099" w:rsidR="00222FC2" w:rsidRDefault="00222FC2" w:rsidP="004F18B6">
            <w:pPr>
              <w:contextualSpacing/>
              <w:jc w:val="both"/>
              <w:rPr>
                <w:rFonts w:ascii="Calibri" w:hAnsi="Calibri" w:cs="Calibri"/>
                <w:szCs w:val="24"/>
              </w:rPr>
            </w:pPr>
            <w:r>
              <w:rPr>
                <w:rFonts w:ascii="Calibri" w:hAnsi="Calibri" w:cs="Calibri"/>
                <w:szCs w:val="24"/>
              </w:rPr>
              <w:t xml:space="preserve">Include only less </w:t>
            </w:r>
            <w:r w:rsidRPr="008107B4">
              <w:rPr>
                <w:rFonts w:ascii="Calibri" w:hAnsi="Calibri" w:cs="Calibri"/>
                <w:szCs w:val="24"/>
              </w:rPr>
              <w:t xml:space="preserve">stable retail deposits </w:t>
            </w:r>
            <w:r w:rsidR="001F29CE">
              <w:rPr>
                <w:rFonts w:ascii="Calibri" w:hAnsi="Calibri" w:cs="Calibri"/>
                <w:szCs w:val="24"/>
              </w:rPr>
              <w:t xml:space="preserve">and deposits from small business customers </w:t>
            </w:r>
            <w:r w:rsidRPr="008107B4">
              <w:rPr>
                <w:rFonts w:ascii="Calibri" w:hAnsi="Calibri" w:cs="Calibri"/>
                <w:szCs w:val="24"/>
              </w:rPr>
              <w:t>(as defined for LCR purposes)</w:t>
            </w:r>
            <w:r>
              <w:rPr>
                <w:rFonts w:ascii="Calibri" w:hAnsi="Calibri" w:cs="Calibri"/>
                <w:szCs w:val="24"/>
              </w:rPr>
              <w:t xml:space="preserve"> </w:t>
            </w:r>
            <w:r w:rsidRPr="008107B4">
              <w:rPr>
                <w:rFonts w:ascii="Calibri" w:hAnsi="Calibri" w:cs="Calibri"/>
                <w:szCs w:val="24"/>
              </w:rPr>
              <w:t xml:space="preserve">that </w:t>
            </w:r>
            <w:r>
              <w:rPr>
                <w:rFonts w:ascii="Calibri" w:hAnsi="Calibri" w:cs="Calibri"/>
                <w:szCs w:val="24"/>
              </w:rPr>
              <w:t>have a residual maturity greater than one year</w:t>
            </w:r>
            <w:r w:rsidRPr="008107B4">
              <w:rPr>
                <w:rFonts w:ascii="Calibri" w:hAnsi="Calibri" w:cs="Calibri"/>
                <w:szCs w:val="24"/>
              </w:rPr>
              <w:t>,</w:t>
            </w:r>
            <w:r>
              <w:rPr>
                <w:rFonts w:ascii="Calibri" w:hAnsi="Calibri" w:cs="Calibri"/>
                <w:szCs w:val="24"/>
              </w:rPr>
              <w:t xml:space="preserve"> p</w:t>
            </w:r>
            <w:r w:rsidRPr="009D4EE7">
              <w:rPr>
                <w:rFonts w:ascii="Calibri" w:hAnsi="Calibri" w:cs="Calibri"/>
                <w:szCs w:val="24"/>
              </w:rPr>
              <w:t xml:space="preserve">rovided </w:t>
            </w:r>
            <w:r>
              <w:rPr>
                <w:rFonts w:ascii="Calibri" w:hAnsi="Calibri" w:cs="Calibri"/>
                <w:szCs w:val="24"/>
              </w:rPr>
              <w:t xml:space="preserve">such deposits </w:t>
            </w:r>
            <w:r w:rsidRPr="00E31D43">
              <w:rPr>
                <w:rFonts w:ascii="Calibri" w:hAnsi="Calibri" w:cs="Calibri"/>
                <w:b/>
                <w:bCs/>
                <w:i/>
                <w:iCs/>
                <w:szCs w:val="24"/>
              </w:rPr>
              <w:t>cannot</w:t>
            </w:r>
            <w:r>
              <w:rPr>
                <w:rFonts w:ascii="Calibri" w:hAnsi="Calibri" w:cs="Calibri"/>
                <w:szCs w:val="24"/>
              </w:rPr>
              <w:t xml:space="preserve"> be withdrawn early without significant penalty (otherwise they must be included as specified above, with a </w:t>
            </w:r>
            <w:r w:rsidR="00D90C5A">
              <w:rPr>
                <w:rFonts w:ascii="Calibri" w:hAnsi="Calibri" w:cs="Calibri"/>
                <w:szCs w:val="24"/>
              </w:rPr>
              <w:t>90</w:t>
            </w:r>
            <w:r>
              <w:rPr>
                <w:rFonts w:ascii="Calibri" w:hAnsi="Calibri" w:cs="Calibri"/>
                <w:szCs w:val="24"/>
              </w:rPr>
              <w:t>% ASF factor applying).</w:t>
            </w:r>
          </w:p>
          <w:p w14:paraId="14BEC0CE" w14:textId="77777777" w:rsidR="00222FC2" w:rsidRDefault="00222FC2" w:rsidP="004F18B6">
            <w:pPr>
              <w:contextualSpacing/>
            </w:pPr>
          </w:p>
        </w:tc>
      </w:tr>
      <w:tr w:rsidR="00222FC2" w14:paraId="2E150EB2" w14:textId="77777777" w:rsidTr="004F18B6">
        <w:trPr>
          <w:trHeight w:val="352"/>
        </w:trPr>
        <w:tc>
          <w:tcPr>
            <w:tcW w:w="988" w:type="dxa"/>
          </w:tcPr>
          <w:p w14:paraId="50DE048F" w14:textId="77777777" w:rsidR="00222FC2" w:rsidRPr="00E6642B" w:rsidRDefault="00222FC2" w:rsidP="004F18B6">
            <w:r>
              <w:lastRenderedPageBreak/>
              <w:t>ASF.6</w:t>
            </w:r>
          </w:p>
        </w:tc>
        <w:tc>
          <w:tcPr>
            <w:tcW w:w="7957" w:type="dxa"/>
          </w:tcPr>
          <w:p w14:paraId="7061C4C7" w14:textId="621D6862" w:rsidR="00222FC2" w:rsidRDefault="00222FC2" w:rsidP="004F18B6">
            <w:pPr>
              <w:contextualSpacing/>
              <w:jc w:val="both"/>
              <w:rPr>
                <w:rFonts w:ascii="Calibri" w:hAnsi="Calibri" w:cs="Calibri"/>
                <w:b/>
                <w:bCs/>
                <w:szCs w:val="24"/>
              </w:rPr>
            </w:pPr>
            <w:r>
              <w:rPr>
                <w:rFonts w:ascii="Calibri" w:hAnsi="Calibri" w:cs="Calibri"/>
                <w:b/>
                <w:bCs/>
                <w:szCs w:val="24"/>
              </w:rPr>
              <w:t>Funding (secured and unsecured), &lt;</w:t>
            </w:r>
            <w:r w:rsidR="00E31D43">
              <w:rPr>
                <w:rFonts w:ascii="Calibri" w:hAnsi="Calibri" w:cs="Calibri"/>
                <w:b/>
                <w:bCs/>
                <w:szCs w:val="24"/>
              </w:rPr>
              <w:t>1-year</w:t>
            </w:r>
            <w:r>
              <w:rPr>
                <w:rFonts w:ascii="Calibri" w:hAnsi="Calibri" w:cs="Calibri"/>
                <w:b/>
                <w:bCs/>
                <w:szCs w:val="24"/>
              </w:rPr>
              <w:t xml:space="preserve"> residual maturity, provided by non-financial corporate customers (50% ASF factor)</w:t>
            </w:r>
          </w:p>
          <w:p w14:paraId="376CFFF8" w14:textId="0305C218" w:rsidR="00522807" w:rsidRDefault="00222FC2" w:rsidP="004F18B6">
            <w:pPr>
              <w:contextualSpacing/>
              <w:jc w:val="both"/>
              <w:rPr>
                <w:rFonts w:ascii="Calibri" w:hAnsi="Calibri" w:cs="Calibri"/>
                <w:szCs w:val="24"/>
              </w:rPr>
            </w:pPr>
            <w:r>
              <w:rPr>
                <w:rFonts w:ascii="Calibri" w:hAnsi="Calibri" w:cs="Calibri"/>
                <w:szCs w:val="24"/>
              </w:rPr>
              <w:t>Report secured and unsecured wholesale funding, non-maturity deposits and / or term deposits with a residual maturity of less than one year, provided by non-financial corporate customers (i.e. not banks</w:t>
            </w:r>
            <w:r w:rsidR="00E31D43">
              <w:rPr>
                <w:rFonts w:ascii="Calibri" w:hAnsi="Calibri" w:cs="Calibri"/>
                <w:szCs w:val="24"/>
              </w:rPr>
              <w:t xml:space="preserve"> or</w:t>
            </w:r>
            <w:r>
              <w:rPr>
                <w:rFonts w:ascii="Calibri" w:hAnsi="Calibri" w:cs="Calibri"/>
                <w:szCs w:val="24"/>
              </w:rPr>
              <w:t xml:space="preserve"> financial institutions</w:t>
            </w:r>
            <w:r w:rsidR="00687697">
              <w:rPr>
                <w:rFonts w:ascii="Calibri" w:hAnsi="Calibri" w:cs="Calibri"/>
                <w:szCs w:val="24"/>
              </w:rPr>
              <w:t>)</w:t>
            </w:r>
            <w:r>
              <w:rPr>
                <w:rFonts w:ascii="Calibri" w:hAnsi="Calibri" w:cs="Calibri"/>
                <w:szCs w:val="24"/>
              </w:rPr>
              <w:t xml:space="preserve">, </w:t>
            </w:r>
            <w:r w:rsidRPr="008107B4">
              <w:rPr>
                <w:rFonts w:ascii="Calibri" w:hAnsi="Calibri" w:cs="Calibri"/>
                <w:szCs w:val="24"/>
              </w:rPr>
              <w:t>in the applicable maturity bucket</w:t>
            </w:r>
            <w:r>
              <w:rPr>
                <w:rFonts w:ascii="Calibri" w:hAnsi="Calibri" w:cs="Calibri"/>
                <w:szCs w:val="24"/>
              </w:rPr>
              <w:t xml:space="preserve"> (under 6 months, or 6 months to 1 year)</w:t>
            </w:r>
            <w:r w:rsidRPr="008107B4">
              <w:rPr>
                <w:rFonts w:ascii="Calibri" w:hAnsi="Calibri" w:cs="Calibri"/>
                <w:szCs w:val="24"/>
              </w:rPr>
              <w:t>.</w:t>
            </w:r>
          </w:p>
          <w:p w14:paraId="4C25AB81" w14:textId="77777777" w:rsidR="00522807" w:rsidRDefault="00522807" w:rsidP="004F18B6">
            <w:pPr>
              <w:contextualSpacing/>
              <w:jc w:val="both"/>
              <w:rPr>
                <w:rFonts w:ascii="Calibri" w:hAnsi="Calibri" w:cs="Calibri"/>
                <w:szCs w:val="24"/>
              </w:rPr>
            </w:pPr>
          </w:p>
          <w:p w14:paraId="71C6F688" w14:textId="093118E1" w:rsidR="00222FC2" w:rsidRDefault="00222FC2" w:rsidP="00E31D43">
            <w:pPr>
              <w:contextualSpacing/>
              <w:jc w:val="both"/>
              <w:rPr>
                <w:rFonts w:ascii="Calibri" w:hAnsi="Calibri" w:cs="Calibri"/>
                <w:szCs w:val="24"/>
              </w:rPr>
            </w:pPr>
            <w:r>
              <w:rPr>
                <w:rFonts w:ascii="Calibri" w:hAnsi="Calibri" w:cs="Calibri"/>
                <w:szCs w:val="24"/>
              </w:rPr>
              <w:t xml:space="preserve">This does not include deposits placed by </w:t>
            </w:r>
            <w:r w:rsidR="00522807">
              <w:rPr>
                <w:rFonts w:ascii="Calibri" w:hAnsi="Calibri" w:cs="Calibri"/>
                <w:szCs w:val="24"/>
              </w:rPr>
              <w:t xml:space="preserve">sovereigns, PSEs or MDBs which are reported under ASF.8 nor </w:t>
            </w:r>
            <w:r>
              <w:rPr>
                <w:rFonts w:ascii="Calibri" w:hAnsi="Calibri" w:cs="Calibri"/>
                <w:szCs w:val="24"/>
              </w:rPr>
              <w:t>small business customers which are reported under ASF.4 or ASF.5.</w:t>
            </w:r>
          </w:p>
          <w:p w14:paraId="78ECC380" w14:textId="77777777" w:rsidR="00222FC2" w:rsidRDefault="00222FC2" w:rsidP="004F18B6">
            <w:pPr>
              <w:contextualSpacing/>
            </w:pPr>
          </w:p>
        </w:tc>
      </w:tr>
      <w:tr w:rsidR="00222FC2" w14:paraId="5E7A5470" w14:textId="77777777" w:rsidTr="004F18B6">
        <w:trPr>
          <w:trHeight w:val="352"/>
        </w:trPr>
        <w:tc>
          <w:tcPr>
            <w:tcW w:w="988" w:type="dxa"/>
          </w:tcPr>
          <w:p w14:paraId="78E18C9D" w14:textId="77777777" w:rsidR="00222FC2" w:rsidRPr="00E6642B" w:rsidRDefault="00222FC2" w:rsidP="004F18B6">
            <w:r>
              <w:t>ASF.7</w:t>
            </w:r>
          </w:p>
        </w:tc>
        <w:tc>
          <w:tcPr>
            <w:tcW w:w="7957" w:type="dxa"/>
          </w:tcPr>
          <w:p w14:paraId="7FDC6DF3" w14:textId="77777777" w:rsidR="00222FC2" w:rsidRDefault="00222FC2" w:rsidP="004F18B6">
            <w:pPr>
              <w:contextualSpacing/>
              <w:rPr>
                <w:rFonts w:ascii="Calibri" w:hAnsi="Calibri" w:cs="Calibri"/>
                <w:b/>
                <w:bCs/>
                <w:szCs w:val="24"/>
              </w:rPr>
            </w:pPr>
            <w:r>
              <w:rPr>
                <w:rFonts w:ascii="Calibri" w:hAnsi="Calibri" w:cs="Calibri"/>
                <w:b/>
                <w:bCs/>
                <w:szCs w:val="24"/>
              </w:rPr>
              <w:t>Operational deposits (50% ASF factor)</w:t>
            </w:r>
          </w:p>
          <w:p w14:paraId="4672FA7D" w14:textId="1396B382" w:rsidR="00222FC2" w:rsidRPr="00307C25" w:rsidRDefault="009B1C25" w:rsidP="004F18B6">
            <w:pPr>
              <w:contextualSpacing/>
              <w:jc w:val="both"/>
              <w:rPr>
                <w:rFonts w:ascii="Calibri" w:hAnsi="Calibri" w:cs="Calibri"/>
                <w:szCs w:val="24"/>
              </w:rPr>
            </w:pPr>
            <w:r>
              <w:rPr>
                <w:rFonts w:ascii="Calibri" w:hAnsi="Calibri" w:cs="Calibri"/>
                <w:szCs w:val="24"/>
              </w:rPr>
              <w:t xml:space="preserve">Report </w:t>
            </w:r>
            <w:r w:rsidR="00222FC2">
              <w:rPr>
                <w:rFonts w:ascii="Calibri" w:hAnsi="Calibri" w:cs="Calibri"/>
                <w:szCs w:val="24"/>
              </w:rPr>
              <w:t xml:space="preserve">all operational deposits as defined </w:t>
            </w:r>
            <w:r w:rsidR="00222FC2" w:rsidRPr="00C3033C">
              <w:rPr>
                <w:rFonts w:ascii="Calibri" w:hAnsi="Calibri" w:cs="Calibri"/>
                <w:szCs w:val="24"/>
              </w:rPr>
              <w:t>for LCR</w:t>
            </w:r>
            <w:r w:rsidR="00222FC2">
              <w:rPr>
                <w:rFonts w:ascii="Calibri" w:hAnsi="Calibri" w:cs="Calibri"/>
                <w:szCs w:val="24"/>
              </w:rPr>
              <w:t xml:space="preserve"> </w:t>
            </w:r>
            <w:r w:rsidR="00222FC2" w:rsidRPr="00C3033C">
              <w:rPr>
                <w:rFonts w:ascii="Calibri" w:hAnsi="Calibri" w:cs="Calibri"/>
                <w:szCs w:val="24"/>
              </w:rPr>
              <w:t>purposes</w:t>
            </w:r>
            <w:r w:rsidR="00222FC2">
              <w:rPr>
                <w:rFonts w:ascii="Calibri" w:hAnsi="Calibri" w:cs="Calibri"/>
                <w:szCs w:val="24"/>
              </w:rPr>
              <w:t>. For NSFR reporting these are all treated as being less than 6 months maturity.</w:t>
            </w:r>
          </w:p>
          <w:p w14:paraId="440066F3" w14:textId="77777777" w:rsidR="00222FC2" w:rsidRDefault="00222FC2" w:rsidP="004F18B6">
            <w:pPr>
              <w:contextualSpacing/>
            </w:pPr>
          </w:p>
        </w:tc>
      </w:tr>
      <w:tr w:rsidR="00222FC2" w14:paraId="5BAE1CE0" w14:textId="77777777" w:rsidTr="004F18B6">
        <w:trPr>
          <w:trHeight w:val="352"/>
        </w:trPr>
        <w:tc>
          <w:tcPr>
            <w:tcW w:w="988" w:type="dxa"/>
          </w:tcPr>
          <w:p w14:paraId="16063690" w14:textId="77777777" w:rsidR="00222FC2" w:rsidRPr="00E6642B" w:rsidRDefault="00222FC2" w:rsidP="004F18B6">
            <w:r>
              <w:t>ASF.8</w:t>
            </w:r>
          </w:p>
        </w:tc>
        <w:tc>
          <w:tcPr>
            <w:tcW w:w="7957" w:type="dxa"/>
          </w:tcPr>
          <w:p w14:paraId="0767FF0B" w14:textId="7C0FDF24" w:rsidR="00222FC2" w:rsidRDefault="00222FC2" w:rsidP="004F18B6">
            <w:pPr>
              <w:contextualSpacing/>
              <w:jc w:val="both"/>
              <w:rPr>
                <w:rFonts w:ascii="Calibri" w:hAnsi="Calibri" w:cs="Calibri"/>
                <w:b/>
                <w:bCs/>
                <w:szCs w:val="24"/>
              </w:rPr>
            </w:pPr>
            <w:r>
              <w:rPr>
                <w:rFonts w:ascii="Calibri" w:hAnsi="Calibri" w:cs="Calibri"/>
                <w:b/>
                <w:bCs/>
                <w:szCs w:val="24"/>
              </w:rPr>
              <w:t>Funding from sovereigns, PSEs, and MDBs &lt;</w:t>
            </w:r>
            <w:r w:rsidR="00E31D43">
              <w:rPr>
                <w:rFonts w:ascii="Calibri" w:hAnsi="Calibri" w:cs="Calibri"/>
                <w:b/>
                <w:bCs/>
                <w:szCs w:val="24"/>
              </w:rPr>
              <w:t>1-year</w:t>
            </w:r>
            <w:r>
              <w:rPr>
                <w:rFonts w:ascii="Calibri" w:hAnsi="Calibri" w:cs="Calibri"/>
                <w:b/>
                <w:bCs/>
                <w:szCs w:val="24"/>
              </w:rPr>
              <w:t xml:space="preserve"> residual maturity (50% ASF factor)</w:t>
            </w:r>
          </w:p>
          <w:p w14:paraId="3BAFFC79" w14:textId="77777777" w:rsidR="00222FC2" w:rsidRDefault="00222FC2" w:rsidP="004F18B6">
            <w:pPr>
              <w:contextualSpacing/>
              <w:jc w:val="both"/>
              <w:rPr>
                <w:rFonts w:ascii="Calibri" w:hAnsi="Calibri" w:cs="Calibri"/>
                <w:szCs w:val="24"/>
              </w:rPr>
            </w:pPr>
            <w:r>
              <w:rPr>
                <w:rFonts w:ascii="Calibri" w:hAnsi="Calibri" w:cs="Calibri"/>
                <w:szCs w:val="24"/>
              </w:rPr>
              <w:t xml:space="preserve">Report funding, non-maturity deposits and / or term deposits with a residual maturity of less than one year, provided by sovereigns, PSEs or MDBs, </w:t>
            </w:r>
            <w:r w:rsidRPr="008107B4">
              <w:rPr>
                <w:rFonts w:ascii="Calibri" w:hAnsi="Calibri" w:cs="Calibri"/>
                <w:szCs w:val="24"/>
              </w:rPr>
              <w:t>in the applicable maturity bucket</w:t>
            </w:r>
            <w:r>
              <w:rPr>
                <w:rFonts w:ascii="Calibri" w:hAnsi="Calibri" w:cs="Calibri"/>
                <w:szCs w:val="24"/>
              </w:rPr>
              <w:t xml:space="preserve"> (under 6 months, or 6 months to 1 year)</w:t>
            </w:r>
            <w:r w:rsidRPr="008107B4">
              <w:rPr>
                <w:rFonts w:ascii="Calibri" w:hAnsi="Calibri" w:cs="Calibri"/>
                <w:szCs w:val="24"/>
              </w:rPr>
              <w:t>.</w:t>
            </w:r>
            <w:r>
              <w:rPr>
                <w:rFonts w:ascii="Calibri" w:hAnsi="Calibri" w:cs="Calibri"/>
                <w:szCs w:val="24"/>
              </w:rPr>
              <w:t xml:space="preserve"> </w:t>
            </w:r>
          </w:p>
          <w:p w14:paraId="69757FA0" w14:textId="77777777" w:rsidR="00222FC2" w:rsidRDefault="00222FC2" w:rsidP="004F18B6">
            <w:pPr>
              <w:contextualSpacing/>
            </w:pPr>
          </w:p>
        </w:tc>
      </w:tr>
      <w:tr w:rsidR="00222FC2" w14:paraId="2BC93A55" w14:textId="77777777" w:rsidTr="004F18B6">
        <w:trPr>
          <w:trHeight w:val="352"/>
        </w:trPr>
        <w:tc>
          <w:tcPr>
            <w:tcW w:w="988" w:type="dxa"/>
          </w:tcPr>
          <w:p w14:paraId="4196B1F7" w14:textId="77777777" w:rsidR="00222FC2" w:rsidRPr="00E6642B" w:rsidRDefault="00222FC2" w:rsidP="004F18B6">
            <w:r>
              <w:t>ASF.9</w:t>
            </w:r>
          </w:p>
        </w:tc>
        <w:tc>
          <w:tcPr>
            <w:tcW w:w="7957" w:type="dxa"/>
          </w:tcPr>
          <w:p w14:paraId="4D361C7C" w14:textId="2B42E22D" w:rsidR="00222FC2" w:rsidRDefault="00222FC2" w:rsidP="004F18B6">
            <w:pPr>
              <w:contextualSpacing/>
              <w:jc w:val="both"/>
              <w:rPr>
                <w:rFonts w:ascii="Calibri" w:hAnsi="Calibri" w:cs="Calibri"/>
                <w:b/>
                <w:bCs/>
                <w:szCs w:val="24"/>
              </w:rPr>
            </w:pPr>
            <w:r>
              <w:rPr>
                <w:rFonts w:ascii="Calibri" w:hAnsi="Calibri" w:cs="Calibri"/>
                <w:b/>
                <w:bCs/>
                <w:szCs w:val="24"/>
              </w:rPr>
              <w:t xml:space="preserve">Other funding (secured and unsecured), </w:t>
            </w:r>
            <w:r w:rsidRPr="00961604">
              <w:rPr>
                <w:rFonts w:ascii="Calibri" w:hAnsi="Calibri" w:cs="Calibri"/>
                <w:b/>
                <w:bCs/>
                <w:szCs w:val="24"/>
              </w:rPr>
              <w:t>≥6 months to &lt;</w:t>
            </w:r>
            <w:r w:rsidR="00E31D43" w:rsidRPr="00961604">
              <w:rPr>
                <w:rFonts w:ascii="Calibri" w:hAnsi="Calibri" w:cs="Calibri"/>
                <w:b/>
                <w:bCs/>
                <w:szCs w:val="24"/>
              </w:rPr>
              <w:t>1-year</w:t>
            </w:r>
            <w:r>
              <w:rPr>
                <w:rFonts w:ascii="Calibri" w:hAnsi="Calibri" w:cs="Calibri"/>
                <w:b/>
                <w:bCs/>
                <w:szCs w:val="24"/>
              </w:rPr>
              <w:t xml:space="preserve"> residual maturity (50% ASF factor)</w:t>
            </w:r>
          </w:p>
          <w:p w14:paraId="2FEF8D07" w14:textId="79B3E2E7" w:rsidR="00222FC2" w:rsidRPr="004640F5" w:rsidRDefault="00EB7EAB" w:rsidP="004F18B6">
            <w:pPr>
              <w:contextualSpacing/>
              <w:jc w:val="both"/>
              <w:rPr>
                <w:rFonts w:ascii="Calibri" w:hAnsi="Calibri" w:cs="Calibri"/>
                <w:szCs w:val="24"/>
              </w:rPr>
            </w:pPr>
            <w:r>
              <w:rPr>
                <w:rFonts w:ascii="Calibri" w:hAnsi="Calibri" w:cs="Calibri"/>
                <w:szCs w:val="24"/>
              </w:rPr>
              <w:t>Report</w:t>
            </w:r>
            <w:r w:rsidR="00222FC2" w:rsidRPr="004640F5">
              <w:rPr>
                <w:rFonts w:ascii="Calibri" w:hAnsi="Calibri" w:cs="Calibri"/>
                <w:szCs w:val="24"/>
              </w:rPr>
              <w:t xml:space="preserve"> other funding not included in the above Items, with </w:t>
            </w:r>
            <w:r w:rsidR="00222FC2" w:rsidRPr="00FD4AE8">
              <w:rPr>
                <w:rFonts w:ascii="Calibri" w:hAnsi="Calibri" w:cs="Calibri"/>
                <w:b/>
                <w:bCs/>
                <w:i/>
                <w:iCs/>
                <w:szCs w:val="24"/>
              </w:rPr>
              <w:t>residual maturity between six months to less than one year</w:t>
            </w:r>
            <w:r w:rsidR="00222FC2" w:rsidRPr="004640F5">
              <w:rPr>
                <w:rFonts w:ascii="Calibri" w:hAnsi="Calibri" w:cs="Calibri"/>
                <w:szCs w:val="24"/>
              </w:rPr>
              <w:t>, including funding from central banks and financial institutions</w:t>
            </w:r>
            <w:r w:rsidR="00222FC2">
              <w:rPr>
                <w:rFonts w:ascii="Calibri" w:hAnsi="Calibri" w:cs="Calibri"/>
                <w:szCs w:val="24"/>
              </w:rPr>
              <w:t xml:space="preserve"> (including non-operational deposits from other banks)</w:t>
            </w:r>
            <w:r w:rsidR="00222FC2" w:rsidRPr="004640F5">
              <w:rPr>
                <w:rFonts w:ascii="Calibri" w:hAnsi="Calibri" w:cs="Calibri"/>
                <w:szCs w:val="24"/>
              </w:rPr>
              <w:t>.</w:t>
            </w:r>
          </w:p>
          <w:p w14:paraId="14020011" w14:textId="77777777" w:rsidR="00222FC2" w:rsidRDefault="00222FC2" w:rsidP="004F18B6">
            <w:pPr>
              <w:contextualSpacing/>
            </w:pPr>
          </w:p>
        </w:tc>
      </w:tr>
      <w:tr w:rsidR="00222FC2" w14:paraId="4792D820" w14:textId="77777777" w:rsidTr="004F18B6">
        <w:trPr>
          <w:trHeight w:val="352"/>
        </w:trPr>
        <w:tc>
          <w:tcPr>
            <w:tcW w:w="988" w:type="dxa"/>
          </w:tcPr>
          <w:p w14:paraId="61CFA485" w14:textId="77777777" w:rsidR="00222FC2" w:rsidRPr="00E6642B" w:rsidRDefault="00222FC2" w:rsidP="004F18B6">
            <w:r>
              <w:t>ASF.10</w:t>
            </w:r>
          </w:p>
        </w:tc>
        <w:tc>
          <w:tcPr>
            <w:tcW w:w="7957" w:type="dxa"/>
          </w:tcPr>
          <w:p w14:paraId="75E773C1" w14:textId="77777777" w:rsidR="00222FC2" w:rsidRDefault="00222FC2" w:rsidP="004F18B6">
            <w:pPr>
              <w:contextualSpacing/>
              <w:rPr>
                <w:rFonts w:ascii="Calibri" w:hAnsi="Calibri" w:cs="Calibri"/>
                <w:b/>
                <w:bCs/>
                <w:szCs w:val="24"/>
              </w:rPr>
            </w:pPr>
            <w:r>
              <w:rPr>
                <w:rFonts w:ascii="Calibri" w:hAnsi="Calibri" w:cs="Calibri"/>
                <w:b/>
                <w:bCs/>
                <w:szCs w:val="24"/>
              </w:rPr>
              <w:t>All other liabilities and equity categories not included in the above categories (0% ASF factor)</w:t>
            </w:r>
          </w:p>
          <w:p w14:paraId="4B50B377" w14:textId="15EBB638" w:rsidR="00222FC2" w:rsidRDefault="00EB7EAB" w:rsidP="004F18B6">
            <w:pPr>
              <w:contextualSpacing/>
              <w:jc w:val="both"/>
              <w:rPr>
                <w:rFonts w:ascii="Calibri" w:hAnsi="Calibri" w:cs="Calibri"/>
                <w:szCs w:val="24"/>
              </w:rPr>
            </w:pPr>
            <w:r>
              <w:rPr>
                <w:rFonts w:ascii="Calibri" w:hAnsi="Calibri" w:cs="Calibri"/>
                <w:szCs w:val="24"/>
              </w:rPr>
              <w:t xml:space="preserve">Report </w:t>
            </w:r>
            <w:r w:rsidR="00222FC2">
              <w:rPr>
                <w:rFonts w:ascii="Calibri" w:hAnsi="Calibri" w:cs="Calibri"/>
                <w:szCs w:val="24"/>
              </w:rPr>
              <w:t xml:space="preserve">other funding not covered in ASF1 to ASF.9 with </w:t>
            </w:r>
            <w:r w:rsidR="00222FC2" w:rsidRPr="00FD4AE8">
              <w:rPr>
                <w:rFonts w:ascii="Calibri" w:hAnsi="Calibri" w:cs="Calibri"/>
                <w:b/>
                <w:bCs/>
                <w:i/>
                <w:iCs/>
                <w:szCs w:val="24"/>
              </w:rPr>
              <w:t>residual maturity of less than six months</w:t>
            </w:r>
            <w:r w:rsidR="00222FC2">
              <w:rPr>
                <w:rFonts w:ascii="Calibri" w:hAnsi="Calibri" w:cs="Calibri"/>
                <w:b/>
                <w:bCs/>
                <w:i/>
                <w:iCs/>
                <w:szCs w:val="24"/>
              </w:rPr>
              <w:t xml:space="preserve">, </w:t>
            </w:r>
            <w:r w:rsidR="00222FC2" w:rsidRPr="009C047F">
              <w:rPr>
                <w:rFonts w:ascii="Calibri" w:hAnsi="Calibri" w:cs="Calibri"/>
                <w:szCs w:val="24"/>
              </w:rPr>
              <w:t>including from</w:t>
            </w:r>
            <w:r w:rsidR="00222FC2">
              <w:rPr>
                <w:rFonts w:ascii="Calibri" w:hAnsi="Calibri" w:cs="Calibri"/>
                <w:szCs w:val="24"/>
              </w:rPr>
              <w:t xml:space="preserve"> central banks and financial institutions (including non-operational deposits from other banks)</w:t>
            </w:r>
            <w:r w:rsidR="00222FC2" w:rsidRPr="004640F5">
              <w:rPr>
                <w:rFonts w:ascii="Calibri" w:hAnsi="Calibri" w:cs="Calibri"/>
                <w:szCs w:val="24"/>
              </w:rPr>
              <w:t>.</w:t>
            </w:r>
          </w:p>
          <w:p w14:paraId="7201BBE9" w14:textId="77777777" w:rsidR="00222FC2" w:rsidRDefault="00222FC2" w:rsidP="004F18B6">
            <w:pPr>
              <w:contextualSpacing/>
            </w:pPr>
          </w:p>
        </w:tc>
      </w:tr>
      <w:tr w:rsidR="00222FC2" w14:paraId="6A8ED5B9" w14:textId="77777777" w:rsidTr="004F18B6">
        <w:trPr>
          <w:trHeight w:val="352"/>
        </w:trPr>
        <w:tc>
          <w:tcPr>
            <w:tcW w:w="988" w:type="dxa"/>
          </w:tcPr>
          <w:p w14:paraId="677A0E7A" w14:textId="77777777" w:rsidR="00222FC2" w:rsidRPr="00E6642B" w:rsidRDefault="00222FC2" w:rsidP="004F18B6">
            <w:r>
              <w:lastRenderedPageBreak/>
              <w:t>ASF.11</w:t>
            </w:r>
          </w:p>
        </w:tc>
        <w:tc>
          <w:tcPr>
            <w:tcW w:w="7957" w:type="dxa"/>
          </w:tcPr>
          <w:p w14:paraId="508A49C4" w14:textId="77777777" w:rsidR="00222FC2" w:rsidRPr="009C047F" w:rsidRDefault="00222FC2" w:rsidP="004F18B6">
            <w:pPr>
              <w:contextualSpacing/>
              <w:rPr>
                <w:rFonts w:ascii="Calibri" w:hAnsi="Calibri" w:cs="Calibri"/>
                <w:b/>
                <w:bCs/>
                <w:szCs w:val="24"/>
              </w:rPr>
            </w:pPr>
            <w:r>
              <w:rPr>
                <w:rFonts w:ascii="Calibri" w:hAnsi="Calibri" w:cs="Calibri"/>
                <w:b/>
                <w:bCs/>
                <w:szCs w:val="24"/>
              </w:rPr>
              <w:t>Other liabilities without a stated maturity (0%, 50% or 100% ASF factor)</w:t>
            </w:r>
          </w:p>
          <w:p w14:paraId="643CD02C" w14:textId="77777777" w:rsidR="00222FC2" w:rsidRDefault="00222FC2" w:rsidP="004F18B6">
            <w:pPr>
              <w:contextualSpacing/>
              <w:jc w:val="both"/>
              <w:rPr>
                <w:rFonts w:ascii="Calibri" w:hAnsi="Calibri" w:cs="Calibri"/>
                <w:szCs w:val="24"/>
                <w:lang w:val="en-US"/>
              </w:rPr>
            </w:pPr>
            <w:r w:rsidRPr="004536A0">
              <w:rPr>
                <w:rFonts w:ascii="Calibri" w:hAnsi="Calibri" w:cs="Calibri"/>
                <w:szCs w:val="24"/>
              </w:rPr>
              <w:t xml:space="preserve">This category must include </w:t>
            </w:r>
            <w:r w:rsidRPr="004536A0">
              <w:rPr>
                <w:rFonts w:ascii="Calibri" w:hAnsi="Calibri" w:cs="Calibri"/>
                <w:szCs w:val="24"/>
                <w:lang w:val="en-US"/>
              </w:rPr>
              <w:t>short positions and open maturity positions that are not captured under Items ASF.1 to ASF.10.</w:t>
            </w:r>
          </w:p>
          <w:p w14:paraId="0C0B1E60" w14:textId="77777777" w:rsidR="00222FC2" w:rsidRPr="00B31307" w:rsidRDefault="00222FC2" w:rsidP="004F18B6">
            <w:pPr>
              <w:contextualSpacing/>
              <w:rPr>
                <w:rFonts w:ascii="Calibri" w:hAnsi="Calibri" w:cs="Calibri"/>
                <w:szCs w:val="24"/>
              </w:rPr>
            </w:pPr>
          </w:p>
          <w:p w14:paraId="2198FC0E" w14:textId="6C48D1E8" w:rsidR="00222FC2" w:rsidRPr="004536A0" w:rsidRDefault="00222FC2" w:rsidP="004F18B6">
            <w:pPr>
              <w:contextualSpacing/>
              <w:jc w:val="both"/>
              <w:rPr>
                <w:rFonts w:ascii="Calibri" w:hAnsi="Calibri" w:cs="Calibri"/>
                <w:szCs w:val="24"/>
              </w:rPr>
            </w:pPr>
            <w:r w:rsidRPr="004536A0">
              <w:rPr>
                <w:rFonts w:ascii="Calibri" w:hAnsi="Calibri" w:cs="Calibri"/>
                <w:b/>
                <w:bCs/>
                <w:i/>
                <w:iCs/>
                <w:szCs w:val="24"/>
              </w:rPr>
              <w:t>ASF.11.1 (0% ASF factor)</w:t>
            </w:r>
            <w:r>
              <w:rPr>
                <w:rFonts w:ascii="Calibri" w:hAnsi="Calibri" w:cs="Calibri"/>
                <w:szCs w:val="24"/>
              </w:rPr>
              <w:t xml:space="preserve"> – </w:t>
            </w:r>
            <w:r w:rsidR="0040092A">
              <w:rPr>
                <w:rFonts w:ascii="Calibri" w:hAnsi="Calibri" w:cs="Calibri"/>
                <w:szCs w:val="24"/>
              </w:rPr>
              <w:t>report</w:t>
            </w:r>
            <w:r w:rsidRPr="004536A0">
              <w:rPr>
                <w:rFonts w:ascii="Calibri" w:hAnsi="Calibri" w:cs="Calibri"/>
                <w:szCs w:val="24"/>
              </w:rPr>
              <w:t xml:space="preserve"> </w:t>
            </w:r>
            <w:r w:rsidRPr="00E31D43">
              <w:rPr>
                <w:rFonts w:ascii="Calibri" w:hAnsi="Calibri" w:cs="Calibri"/>
                <w:szCs w:val="24"/>
                <w:u w:val="single"/>
              </w:rPr>
              <w:t>liabilities (except those meeting ASF.11.2 or ASF.11.3 criteria) not otherwise captured in Items ASF.1 to ASF.10</w:t>
            </w:r>
            <w:r>
              <w:rPr>
                <w:rFonts w:ascii="Calibri" w:hAnsi="Calibri" w:cs="Calibri"/>
                <w:szCs w:val="24"/>
              </w:rPr>
              <w:t xml:space="preserve">. </w:t>
            </w:r>
            <w:r>
              <w:rPr>
                <w:rFonts w:ascii="Calibri" w:hAnsi="Calibri" w:cs="Calibri"/>
                <w:szCs w:val="24"/>
                <w:lang w:val="en-US"/>
              </w:rPr>
              <w:t>Such Items should be included under the &lt;6 months column.</w:t>
            </w:r>
          </w:p>
          <w:p w14:paraId="050A5AE3" w14:textId="77777777" w:rsidR="00222FC2" w:rsidRDefault="00222FC2" w:rsidP="004F18B6">
            <w:pPr>
              <w:contextualSpacing/>
              <w:rPr>
                <w:rFonts w:ascii="Calibri" w:hAnsi="Calibri" w:cs="Calibri"/>
                <w:szCs w:val="24"/>
                <w:lang w:val="en-US"/>
              </w:rPr>
            </w:pPr>
          </w:p>
          <w:p w14:paraId="794D79F9" w14:textId="77777777" w:rsidR="00222FC2" w:rsidRDefault="00222FC2" w:rsidP="004F18B6">
            <w:pPr>
              <w:contextualSpacing/>
              <w:jc w:val="both"/>
              <w:rPr>
                <w:rFonts w:ascii="Calibri" w:hAnsi="Calibri" w:cs="Calibri"/>
                <w:szCs w:val="24"/>
                <w:lang w:val="en-US"/>
              </w:rPr>
            </w:pPr>
            <w:r w:rsidRPr="00B31307">
              <w:rPr>
                <w:rFonts w:ascii="Calibri" w:hAnsi="Calibri" w:cs="Calibri"/>
                <w:szCs w:val="24"/>
                <w:lang w:val="en-US"/>
              </w:rPr>
              <w:t xml:space="preserve">Two exceptions </w:t>
            </w:r>
            <w:r>
              <w:rPr>
                <w:rFonts w:ascii="Calibri" w:hAnsi="Calibri" w:cs="Calibri"/>
                <w:szCs w:val="24"/>
                <w:lang w:val="en-US"/>
              </w:rPr>
              <w:t xml:space="preserve">to the 0% ASF factor are permitted </w:t>
            </w:r>
            <w:r w:rsidRPr="00B31307">
              <w:rPr>
                <w:rFonts w:ascii="Calibri" w:hAnsi="Calibri" w:cs="Calibri"/>
                <w:szCs w:val="24"/>
                <w:lang w:val="en-US"/>
              </w:rPr>
              <w:t>for liabilities without a stated maturity</w:t>
            </w:r>
            <w:r>
              <w:rPr>
                <w:rFonts w:ascii="Calibri" w:hAnsi="Calibri" w:cs="Calibri"/>
                <w:szCs w:val="24"/>
                <w:lang w:val="en-US"/>
              </w:rPr>
              <w:t>:</w:t>
            </w:r>
          </w:p>
          <w:p w14:paraId="2C4D388C" w14:textId="77777777" w:rsidR="00222FC2" w:rsidRDefault="00222FC2" w:rsidP="004F18B6">
            <w:pPr>
              <w:contextualSpacing/>
              <w:rPr>
                <w:rFonts w:ascii="Calibri" w:hAnsi="Calibri" w:cs="Calibri"/>
                <w:szCs w:val="24"/>
                <w:lang w:val="en-US"/>
              </w:rPr>
            </w:pPr>
          </w:p>
          <w:p w14:paraId="297F2CB3" w14:textId="667ED113" w:rsidR="00222FC2" w:rsidRPr="004536A0" w:rsidRDefault="00222FC2" w:rsidP="004F18B6">
            <w:pPr>
              <w:jc w:val="both"/>
              <w:rPr>
                <w:rFonts w:ascii="Calibri" w:hAnsi="Calibri" w:cs="Calibri"/>
                <w:b/>
                <w:bCs/>
                <w:szCs w:val="24"/>
                <w:lang w:val="en-US"/>
              </w:rPr>
            </w:pPr>
            <w:r w:rsidRPr="004536A0">
              <w:rPr>
                <w:rFonts w:ascii="Calibri" w:hAnsi="Calibri" w:cs="Calibri"/>
                <w:b/>
                <w:bCs/>
                <w:i/>
                <w:iCs/>
                <w:szCs w:val="24"/>
                <w:lang w:val="en-US"/>
              </w:rPr>
              <w:t>ASF.11.2 (50% or 100% ASF factor)</w:t>
            </w:r>
            <w:r>
              <w:rPr>
                <w:rFonts w:ascii="Calibri" w:hAnsi="Calibri" w:cs="Calibri"/>
                <w:b/>
                <w:bCs/>
                <w:szCs w:val="24"/>
                <w:lang w:val="en-US"/>
              </w:rPr>
              <w:t xml:space="preserve"> </w:t>
            </w:r>
            <w:r w:rsidRPr="004536A0">
              <w:rPr>
                <w:rFonts w:ascii="Calibri" w:hAnsi="Calibri" w:cs="Calibri"/>
                <w:szCs w:val="24"/>
                <w:lang w:val="en-US"/>
              </w:rPr>
              <w:t xml:space="preserve">– </w:t>
            </w:r>
            <w:r w:rsidR="0040092A">
              <w:rPr>
                <w:rFonts w:ascii="Calibri" w:hAnsi="Calibri" w:cs="Calibri"/>
                <w:szCs w:val="24"/>
                <w:lang w:val="en-US"/>
              </w:rPr>
              <w:t>report</w:t>
            </w:r>
            <w:r w:rsidRPr="004536A0">
              <w:rPr>
                <w:rFonts w:ascii="Calibri" w:hAnsi="Calibri" w:cs="Calibri"/>
                <w:szCs w:val="24"/>
                <w:lang w:val="en-US"/>
              </w:rPr>
              <w:t xml:space="preserve"> </w:t>
            </w:r>
            <w:r w:rsidRPr="00E31D43">
              <w:rPr>
                <w:rFonts w:ascii="Calibri" w:hAnsi="Calibri" w:cs="Calibri"/>
                <w:szCs w:val="24"/>
                <w:u w:val="single"/>
                <w:lang w:val="en-US"/>
              </w:rPr>
              <w:t>deferred tax liabilities</w:t>
            </w:r>
            <w:r>
              <w:rPr>
                <w:rFonts w:ascii="Calibri" w:hAnsi="Calibri" w:cs="Calibri"/>
                <w:szCs w:val="24"/>
                <w:lang w:val="en-US"/>
              </w:rPr>
              <w:t xml:space="preserve">, which </w:t>
            </w:r>
            <w:r w:rsidRPr="00AE1BAC">
              <w:rPr>
                <w:rFonts w:ascii="Calibri" w:hAnsi="Calibri" w:cs="Calibri"/>
                <w:szCs w:val="24"/>
                <w:lang w:val="en-US"/>
              </w:rPr>
              <w:t xml:space="preserve">should be treated according to the nearest possible date on which such liabilities could be </w:t>
            </w:r>
            <w:proofErr w:type="spellStart"/>
            <w:r w:rsidRPr="00AE1BAC">
              <w:rPr>
                <w:rFonts w:ascii="Calibri" w:hAnsi="Calibri" w:cs="Calibri"/>
                <w:szCs w:val="24"/>
                <w:lang w:val="en-US"/>
              </w:rPr>
              <w:t>realised</w:t>
            </w:r>
            <w:proofErr w:type="spellEnd"/>
            <w:r>
              <w:rPr>
                <w:rFonts w:ascii="Calibri" w:hAnsi="Calibri" w:cs="Calibri"/>
                <w:szCs w:val="24"/>
                <w:lang w:val="en-US"/>
              </w:rPr>
              <w:t>.</w:t>
            </w:r>
          </w:p>
          <w:p w14:paraId="0EE2A0B4" w14:textId="77777777" w:rsidR="00222FC2" w:rsidRDefault="00222FC2" w:rsidP="004F18B6">
            <w:pPr>
              <w:rPr>
                <w:rFonts w:ascii="Calibri" w:hAnsi="Calibri" w:cs="Calibri"/>
                <w:szCs w:val="24"/>
                <w:lang w:val="en-US"/>
              </w:rPr>
            </w:pPr>
          </w:p>
          <w:p w14:paraId="273BCC6B" w14:textId="2A27C129" w:rsidR="00222FC2" w:rsidRPr="004536A0" w:rsidRDefault="00222FC2" w:rsidP="004F18B6">
            <w:pPr>
              <w:jc w:val="both"/>
              <w:rPr>
                <w:rFonts w:ascii="Calibri" w:hAnsi="Calibri" w:cs="Calibri"/>
                <w:szCs w:val="24"/>
                <w:lang w:val="en-US"/>
              </w:rPr>
            </w:pPr>
            <w:r w:rsidRPr="004536A0">
              <w:rPr>
                <w:rFonts w:ascii="Calibri" w:hAnsi="Calibri" w:cs="Calibri"/>
                <w:b/>
                <w:bCs/>
                <w:i/>
                <w:iCs/>
                <w:szCs w:val="24"/>
                <w:lang w:val="en-US"/>
              </w:rPr>
              <w:t>ASF.11.3 (50% or 100% ASF factor)</w:t>
            </w:r>
            <w:r w:rsidRPr="004536A0">
              <w:rPr>
                <w:rFonts w:ascii="Calibri" w:hAnsi="Calibri" w:cs="Calibri"/>
                <w:szCs w:val="24"/>
                <w:lang w:val="en-US"/>
              </w:rPr>
              <w:t xml:space="preserve"> - </w:t>
            </w:r>
            <w:r w:rsidR="0040092A">
              <w:rPr>
                <w:rFonts w:ascii="Calibri" w:hAnsi="Calibri" w:cs="Calibri"/>
                <w:szCs w:val="24"/>
                <w:lang w:val="en-US"/>
              </w:rPr>
              <w:t>report</w:t>
            </w:r>
            <w:r w:rsidRPr="004536A0">
              <w:rPr>
                <w:rFonts w:ascii="Calibri" w:hAnsi="Calibri" w:cs="Calibri"/>
                <w:szCs w:val="24"/>
                <w:lang w:val="en-US"/>
              </w:rPr>
              <w:t xml:space="preserve"> </w:t>
            </w:r>
            <w:r w:rsidRPr="00E31D43">
              <w:rPr>
                <w:rFonts w:ascii="Calibri" w:hAnsi="Calibri" w:cs="Calibri"/>
                <w:szCs w:val="24"/>
                <w:u w:val="single"/>
                <w:lang w:val="en-US"/>
              </w:rPr>
              <w:t>minority interest</w:t>
            </w:r>
            <w:r w:rsidRPr="004536A0">
              <w:rPr>
                <w:rFonts w:ascii="Calibri" w:hAnsi="Calibri" w:cs="Calibri"/>
                <w:szCs w:val="24"/>
                <w:lang w:val="en-US"/>
              </w:rPr>
              <w:t>, which</w:t>
            </w:r>
            <w:r>
              <w:rPr>
                <w:rFonts w:ascii="Calibri" w:hAnsi="Calibri" w:cs="Calibri"/>
                <w:szCs w:val="24"/>
                <w:lang w:val="en-US"/>
              </w:rPr>
              <w:t xml:space="preserve"> s</w:t>
            </w:r>
            <w:r w:rsidRPr="004536A0">
              <w:rPr>
                <w:rFonts w:ascii="Calibri" w:hAnsi="Calibri" w:cs="Calibri"/>
                <w:szCs w:val="24"/>
                <w:lang w:val="en-US"/>
              </w:rPr>
              <w:t>hould be treated according to the term of the instrument, usually in perpetuity.</w:t>
            </w:r>
          </w:p>
          <w:p w14:paraId="3C1DF319" w14:textId="77777777" w:rsidR="00222FC2" w:rsidRDefault="00222FC2" w:rsidP="004F18B6">
            <w:pPr>
              <w:contextualSpacing/>
              <w:rPr>
                <w:rFonts w:ascii="Calibri" w:hAnsi="Calibri" w:cs="Calibri"/>
                <w:szCs w:val="24"/>
                <w:lang w:val="en-US"/>
              </w:rPr>
            </w:pPr>
          </w:p>
          <w:p w14:paraId="6403D1D5" w14:textId="77777777" w:rsidR="00222FC2" w:rsidRDefault="00222FC2" w:rsidP="004F18B6">
            <w:pPr>
              <w:contextualSpacing/>
              <w:jc w:val="both"/>
              <w:rPr>
                <w:rFonts w:ascii="Calibri" w:hAnsi="Calibri" w:cs="Calibri"/>
                <w:szCs w:val="24"/>
                <w:lang w:val="en-US"/>
              </w:rPr>
            </w:pPr>
            <w:r w:rsidRPr="004536A0">
              <w:rPr>
                <w:rFonts w:ascii="Calibri" w:hAnsi="Calibri" w:cs="Calibri"/>
                <w:szCs w:val="24"/>
                <w:lang w:val="en-US"/>
              </w:rPr>
              <w:t>In respect of both ASF.11.2 and ASF.11.3 if the effective maturity is one year or greater, the ASF factor is 100%. If the effective maturity is between six months and less than one year, the ASF factor is 50%.</w:t>
            </w:r>
          </w:p>
          <w:p w14:paraId="0195CAB9" w14:textId="77777777" w:rsidR="00222FC2" w:rsidRDefault="00222FC2" w:rsidP="004F18B6">
            <w:pPr>
              <w:contextualSpacing/>
            </w:pPr>
          </w:p>
        </w:tc>
      </w:tr>
      <w:tr w:rsidR="00222FC2" w14:paraId="5D4A226E" w14:textId="77777777" w:rsidTr="004F18B6">
        <w:trPr>
          <w:trHeight w:val="352"/>
        </w:trPr>
        <w:tc>
          <w:tcPr>
            <w:tcW w:w="988" w:type="dxa"/>
          </w:tcPr>
          <w:p w14:paraId="04AA1518" w14:textId="77777777" w:rsidR="00222FC2" w:rsidRPr="00E6642B" w:rsidRDefault="00222FC2" w:rsidP="004F18B6">
            <w:r>
              <w:t>ASF.12</w:t>
            </w:r>
          </w:p>
        </w:tc>
        <w:tc>
          <w:tcPr>
            <w:tcW w:w="7957" w:type="dxa"/>
          </w:tcPr>
          <w:p w14:paraId="0BF7F477" w14:textId="66197BEE" w:rsidR="00222FC2" w:rsidRDefault="00E46E6E" w:rsidP="004F18B6">
            <w:pPr>
              <w:contextualSpacing/>
              <w:rPr>
                <w:rFonts w:ascii="Calibri" w:hAnsi="Calibri" w:cs="Calibri"/>
                <w:b/>
                <w:bCs/>
                <w:szCs w:val="24"/>
              </w:rPr>
            </w:pPr>
            <w:r>
              <w:rPr>
                <w:rFonts w:ascii="Calibri" w:hAnsi="Calibri" w:cs="Calibri"/>
                <w:b/>
                <w:bCs/>
                <w:szCs w:val="24"/>
              </w:rPr>
              <w:t>Net (</w:t>
            </w:r>
            <w:r w:rsidR="00222FC2" w:rsidRPr="00423861">
              <w:rPr>
                <w:rFonts w:ascii="Calibri" w:hAnsi="Calibri" w:cs="Calibri"/>
                <w:b/>
                <w:bCs/>
                <w:szCs w:val="24"/>
              </w:rPr>
              <w:t>N</w:t>
            </w:r>
            <w:r w:rsidR="00294EB1">
              <w:rPr>
                <w:rFonts w:ascii="Calibri" w:hAnsi="Calibri" w:cs="Calibri"/>
                <w:b/>
                <w:bCs/>
                <w:szCs w:val="24"/>
              </w:rPr>
              <w:t>SFR</w:t>
            </w:r>
            <w:r>
              <w:rPr>
                <w:rFonts w:ascii="Calibri" w:hAnsi="Calibri" w:cs="Calibri"/>
                <w:b/>
                <w:bCs/>
                <w:szCs w:val="24"/>
              </w:rPr>
              <w:t>)</w:t>
            </w:r>
            <w:r w:rsidR="00294EB1">
              <w:rPr>
                <w:rFonts w:ascii="Calibri" w:hAnsi="Calibri" w:cs="Calibri"/>
                <w:b/>
                <w:bCs/>
                <w:szCs w:val="24"/>
              </w:rPr>
              <w:t xml:space="preserve"> </w:t>
            </w:r>
            <w:r w:rsidR="00222FC2" w:rsidRPr="00423861">
              <w:rPr>
                <w:rFonts w:ascii="Calibri" w:hAnsi="Calibri" w:cs="Calibri"/>
                <w:b/>
                <w:bCs/>
                <w:szCs w:val="24"/>
              </w:rPr>
              <w:t>derivative liabilities (0% ASF factor)</w:t>
            </w:r>
          </w:p>
          <w:p w14:paraId="0097D288" w14:textId="553B3D2A" w:rsidR="00222FC2" w:rsidRDefault="00222FC2" w:rsidP="004F18B6">
            <w:pPr>
              <w:contextualSpacing/>
              <w:rPr>
                <w:rFonts w:ascii="Calibri" w:hAnsi="Calibri" w:cs="Calibri"/>
                <w:szCs w:val="24"/>
              </w:rPr>
            </w:pPr>
            <w:r>
              <w:rPr>
                <w:rFonts w:ascii="Calibri" w:hAnsi="Calibri" w:cs="Calibri"/>
                <w:szCs w:val="24"/>
              </w:rPr>
              <w:t>The amount to be reported for this Item should be calculated as:</w:t>
            </w:r>
          </w:p>
          <w:p w14:paraId="5B74513E" w14:textId="1D02E129" w:rsidR="00222FC2" w:rsidRPr="00BB5736" w:rsidRDefault="00222FC2" w:rsidP="004F18B6">
            <w:pPr>
              <w:pStyle w:val="ListParagraph"/>
              <w:numPr>
                <w:ilvl w:val="0"/>
                <w:numId w:val="108"/>
              </w:numPr>
              <w:rPr>
                <w:rFonts w:ascii="Calibri" w:hAnsi="Calibri" w:cs="Calibri"/>
                <w:szCs w:val="24"/>
                <w:lang w:val="en-US"/>
              </w:rPr>
            </w:pPr>
            <w:r w:rsidRPr="00BB5736">
              <w:rPr>
                <w:rFonts w:ascii="Calibri" w:hAnsi="Calibri" w:cs="Calibri"/>
                <w:szCs w:val="24"/>
              </w:rPr>
              <w:t>NSFR derivative liabilities (</w:t>
            </w:r>
            <w:r w:rsidRPr="00BB5736">
              <w:rPr>
                <w:rFonts w:ascii="Calibri" w:hAnsi="Calibri" w:cs="Calibri"/>
                <w:b/>
                <w:bCs/>
                <w:i/>
                <w:iCs/>
                <w:szCs w:val="24"/>
              </w:rPr>
              <w:t xml:space="preserve">calculated per </w:t>
            </w:r>
            <w:r w:rsidRPr="00BB5736">
              <w:rPr>
                <w:rFonts w:ascii="Calibri" w:hAnsi="Calibri" w:cs="Calibri"/>
                <w:b/>
                <w:bCs/>
                <w:i/>
                <w:iCs/>
                <w:szCs w:val="24"/>
                <w:lang w:val="en-US"/>
              </w:rPr>
              <w:t xml:space="preserve">paragraph </w:t>
            </w:r>
            <w:r w:rsidR="00E46E6E" w:rsidRPr="00BB5736">
              <w:rPr>
                <w:rFonts w:ascii="Calibri" w:hAnsi="Calibri" w:cs="Calibri"/>
                <w:b/>
                <w:bCs/>
                <w:i/>
                <w:iCs/>
                <w:szCs w:val="24"/>
                <w:lang w:val="en-US"/>
              </w:rPr>
              <w:t>A</w:t>
            </w:r>
            <w:r w:rsidRPr="00BB5736">
              <w:rPr>
                <w:rFonts w:ascii="Calibri" w:hAnsi="Calibri" w:cs="Calibri"/>
                <w:b/>
                <w:bCs/>
                <w:i/>
                <w:iCs/>
                <w:szCs w:val="24"/>
                <w:lang w:val="en-US"/>
              </w:rPr>
              <w:t xml:space="preserve">.1, Annex </w:t>
            </w:r>
            <w:r w:rsidR="00E46E6E" w:rsidRPr="00BB5736">
              <w:rPr>
                <w:rFonts w:ascii="Calibri" w:hAnsi="Calibri" w:cs="Calibri"/>
                <w:b/>
                <w:bCs/>
                <w:i/>
                <w:iCs/>
                <w:szCs w:val="24"/>
                <w:lang w:val="en-US"/>
              </w:rPr>
              <w:t>A</w:t>
            </w:r>
            <w:r w:rsidRPr="00BB5736">
              <w:rPr>
                <w:rFonts w:ascii="Calibri" w:hAnsi="Calibri" w:cs="Calibri"/>
                <w:szCs w:val="24"/>
                <w:lang w:val="en-US"/>
              </w:rPr>
              <w:t>); less</w:t>
            </w:r>
          </w:p>
          <w:p w14:paraId="185DAD51" w14:textId="046BA34A" w:rsidR="00222FC2" w:rsidRPr="00BB5736" w:rsidRDefault="00222FC2" w:rsidP="004F18B6">
            <w:pPr>
              <w:pStyle w:val="ListParagraph"/>
              <w:numPr>
                <w:ilvl w:val="0"/>
                <w:numId w:val="108"/>
              </w:numPr>
              <w:rPr>
                <w:rFonts w:ascii="Calibri" w:hAnsi="Calibri" w:cs="Calibri"/>
                <w:szCs w:val="24"/>
                <w:lang w:val="en-US"/>
              </w:rPr>
            </w:pPr>
            <w:r w:rsidRPr="00BB5736">
              <w:rPr>
                <w:rFonts w:ascii="Calibri" w:hAnsi="Calibri" w:cs="Calibri"/>
                <w:szCs w:val="24"/>
              </w:rPr>
              <w:t xml:space="preserve">NSFR derivative </w:t>
            </w:r>
            <w:r w:rsidRPr="00BB5736">
              <w:rPr>
                <w:rFonts w:ascii="Calibri" w:hAnsi="Calibri" w:cs="Calibri"/>
                <w:szCs w:val="24"/>
                <w:lang w:val="en-US"/>
              </w:rPr>
              <w:t>assets</w:t>
            </w:r>
            <w:r w:rsidRPr="00BB5736">
              <w:rPr>
                <w:rFonts w:ascii="Calibri" w:hAnsi="Calibri" w:cs="Calibri"/>
                <w:szCs w:val="24"/>
              </w:rPr>
              <w:t xml:space="preserve"> (</w:t>
            </w:r>
            <w:r w:rsidRPr="00BB5736">
              <w:rPr>
                <w:rFonts w:ascii="Calibri" w:hAnsi="Calibri" w:cs="Calibri"/>
                <w:b/>
                <w:bCs/>
                <w:i/>
                <w:iCs/>
                <w:szCs w:val="24"/>
              </w:rPr>
              <w:t xml:space="preserve">calculated per </w:t>
            </w:r>
            <w:r w:rsidRPr="00BB5736">
              <w:rPr>
                <w:rFonts w:ascii="Calibri" w:hAnsi="Calibri" w:cs="Calibri"/>
                <w:b/>
                <w:bCs/>
                <w:i/>
                <w:iCs/>
                <w:szCs w:val="24"/>
                <w:lang w:val="en-US"/>
              </w:rPr>
              <w:t xml:space="preserve">paragraph </w:t>
            </w:r>
            <w:r w:rsidR="00E46E6E" w:rsidRPr="00BB5736">
              <w:rPr>
                <w:rFonts w:ascii="Calibri" w:hAnsi="Calibri" w:cs="Calibri"/>
                <w:b/>
                <w:bCs/>
                <w:i/>
                <w:iCs/>
                <w:szCs w:val="24"/>
                <w:lang w:val="en-US"/>
              </w:rPr>
              <w:t>A</w:t>
            </w:r>
            <w:r w:rsidRPr="00BB5736">
              <w:rPr>
                <w:rFonts w:ascii="Calibri" w:hAnsi="Calibri" w:cs="Calibri"/>
                <w:b/>
                <w:bCs/>
                <w:i/>
                <w:iCs/>
                <w:szCs w:val="24"/>
                <w:lang w:val="en-US"/>
              </w:rPr>
              <w:t xml:space="preserve">.2 of Annex </w:t>
            </w:r>
            <w:r w:rsidR="00E46E6E" w:rsidRPr="00BB5736">
              <w:rPr>
                <w:rFonts w:ascii="Calibri" w:hAnsi="Calibri" w:cs="Calibri"/>
                <w:b/>
                <w:bCs/>
                <w:i/>
                <w:iCs/>
                <w:szCs w:val="24"/>
                <w:lang w:val="en-US"/>
              </w:rPr>
              <w:t>A</w:t>
            </w:r>
            <w:r w:rsidRPr="00BB5736">
              <w:rPr>
                <w:rFonts w:ascii="Calibri" w:hAnsi="Calibri" w:cs="Calibri"/>
                <w:szCs w:val="24"/>
                <w:lang w:val="en-US"/>
              </w:rPr>
              <w:t>)</w:t>
            </w:r>
          </w:p>
          <w:p w14:paraId="5CCEA9AE" w14:textId="77777777" w:rsidR="00222FC2" w:rsidRDefault="00222FC2" w:rsidP="004F18B6">
            <w:pPr>
              <w:rPr>
                <w:rFonts w:ascii="Calibri" w:hAnsi="Calibri" w:cs="Calibri"/>
                <w:szCs w:val="24"/>
                <w:lang w:val="en-US"/>
              </w:rPr>
            </w:pPr>
          </w:p>
          <w:p w14:paraId="7F506D52" w14:textId="3452FF3F" w:rsidR="00222FC2" w:rsidRPr="00423861" w:rsidRDefault="00222FC2" w:rsidP="004F18B6">
            <w:pPr>
              <w:jc w:val="both"/>
              <w:rPr>
                <w:rFonts w:ascii="Calibri" w:hAnsi="Calibri" w:cs="Calibri"/>
                <w:szCs w:val="24"/>
                <w:lang w:val="en-US"/>
              </w:rPr>
            </w:pPr>
            <w:r>
              <w:rPr>
                <w:rFonts w:ascii="Calibri" w:hAnsi="Calibri" w:cs="Calibri"/>
                <w:szCs w:val="24"/>
                <w:lang w:val="en-US"/>
              </w:rPr>
              <w:t>Subject to the result being a positive figure.  If the result of the calculation is a negative figure, banks should input “0” as the “amount”</w:t>
            </w:r>
            <w:r w:rsidR="00294EB1">
              <w:rPr>
                <w:rFonts w:ascii="Calibri" w:hAnsi="Calibri" w:cs="Calibri"/>
                <w:szCs w:val="24"/>
                <w:lang w:val="en-US"/>
              </w:rPr>
              <w:t xml:space="preserve"> here</w:t>
            </w:r>
            <w:r>
              <w:rPr>
                <w:rFonts w:ascii="Calibri" w:hAnsi="Calibri" w:cs="Calibri"/>
                <w:szCs w:val="24"/>
                <w:lang w:val="en-US"/>
              </w:rPr>
              <w:t>.  A negative figure must not be input.</w:t>
            </w:r>
          </w:p>
          <w:p w14:paraId="4B7EDF52" w14:textId="77777777" w:rsidR="00222FC2" w:rsidRDefault="00222FC2" w:rsidP="004F18B6"/>
        </w:tc>
      </w:tr>
      <w:tr w:rsidR="00222FC2" w14:paraId="7947A006" w14:textId="77777777" w:rsidTr="004F18B6">
        <w:trPr>
          <w:trHeight w:val="352"/>
        </w:trPr>
        <w:tc>
          <w:tcPr>
            <w:tcW w:w="988" w:type="dxa"/>
          </w:tcPr>
          <w:p w14:paraId="0017C768" w14:textId="77777777" w:rsidR="00222FC2" w:rsidRPr="00E6642B" w:rsidRDefault="00222FC2" w:rsidP="004F18B6">
            <w:r>
              <w:t>ASF.13</w:t>
            </w:r>
          </w:p>
        </w:tc>
        <w:tc>
          <w:tcPr>
            <w:tcW w:w="7957" w:type="dxa"/>
          </w:tcPr>
          <w:p w14:paraId="2B499469" w14:textId="77777777" w:rsidR="00222FC2" w:rsidRPr="000133DC" w:rsidRDefault="00222FC2" w:rsidP="004F18B6">
            <w:pPr>
              <w:contextualSpacing/>
              <w:rPr>
                <w:rFonts w:ascii="Calibri" w:hAnsi="Calibri" w:cs="Calibri"/>
                <w:b/>
                <w:bCs/>
                <w:szCs w:val="24"/>
                <w:lang w:val="en-US"/>
              </w:rPr>
            </w:pPr>
            <w:r w:rsidRPr="000133DC">
              <w:rPr>
                <w:rFonts w:ascii="Calibri" w:hAnsi="Calibri" w:cs="Calibri"/>
                <w:b/>
                <w:bCs/>
                <w:szCs w:val="24"/>
                <w:lang w:val="en-US"/>
              </w:rPr>
              <w:t>“Trade date” payables</w:t>
            </w:r>
            <w:r>
              <w:rPr>
                <w:rFonts w:ascii="Calibri" w:hAnsi="Calibri" w:cs="Calibri"/>
                <w:b/>
                <w:bCs/>
                <w:szCs w:val="24"/>
                <w:lang w:val="en-US"/>
              </w:rPr>
              <w:t xml:space="preserve"> (0% ASF factor)</w:t>
            </w:r>
          </w:p>
          <w:p w14:paraId="40CF3964" w14:textId="71949E1C" w:rsidR="00222FC2" w:rsidRDefault="00DD2925" w:rsidP="004F18B6">
            <w:pPr>
              <w:contextualSpacing/>
              <w:jc w:val="both"/>
              <w:rPr>
                <w:rFonts w:ascii="Calibri" w:hAnsi="Calibri" w:cs="Calibri"/>
                <w:szCs w:val="24"/>
                <w:lang w:val="en-US"/>
              </w:rPr>
            </w:pPr>
            <w:r>
              <w:rPr>
                <w:rFonts w:ascii="Calibri" w:hAnsi="Calibri" w:cs="Calibri"/>
                <w:szCs w:val="24"/>
                <w:lang w:val="en-US"/>
              </w:rPr>
              <w:t xml:space="preserve">Report </w:t>
            </w:r>
            <w:r w:rsidR="00222FC2">
              <w:rPr>
                <w:rFonts w:ascii="Calibri" w:hAnsi="Calibri" w:cs="Calibri"/>
                <w:szCs w:val="24"/>
                <w:lang w:val="en-US"/>
              </w:rPr>
              <w:t>any “t</w:t>
            </w:r>
            <w:r w:rsidR="00222FC2" w:rsidRPr="000133DC">
              <w:rPr>
                <w:rFonts w:ascii="Calibri" w:hAnsi="Calibri" w:cs="Calibri"/>
                <w:szCs w:val="24"/>
                <w:lang w:val="en-US"/>
              </w:rPr>
              <w:t>rade date</w:t>
            </w:r>
            <w:r w:rsidR="00222FC2">
              <w:rPr>
                <w:rFonts w:ascii="Calibri" w:hAnsi="Calibri" w:cs="Calibri"/>
                <w:szCs w:val="24"/>
                <w:lang w:val="en-US"/>
              </w:rPr>
              <w:t>”</w:t>
            </w:r>
            <w:r w:rsidR="00222FC2" w:rsidRPr="000133DC">
              <w:rPr>
                <w:rFonts w:ascii="Calibri" w:hAnsi="Calibri" w:cs="Calibri"/>
                <w:szCs w:val="24"/>
                <w:lang w:val="en-US"/>
              </w:rPr>
              <w:t xml:space="preserve"> payables arising from purchases of financial instruments, foreign currencies and commodities that</w:t>
            </w:r>
            <w:r w:rsidR="00222FC2">
              <w:rPr>
                <w:rFonts w:ascii="Calibri" w:hAnsi="Calibri" w:cs="Calibri"/>
                <w:szCs w:val="24"/>
                <w:lang w:val="en-US"/>
              </w:rPr>
              <w:t>:</w:t>
            </w:r>
          </w:p>
          <w:p w14:paraId="68D9901C" w14:textId="77777777" w:rsidR="00222FC2" w:rsidRDefault="00222FC2" w:rsidP="004F18B6">
            <w:pPr>
              <w:contextualSpacing/>
              <w:rPr>
                <w:rFonts w:ascii="Calibri" w:hAnsi="Calibri" w:cs="Calibri"/>
                <w:szCs w:val="24"/>
                <w:lang w:val="en-US"/>
              </w:rPr>
            </w:pPr>
          </w:p>
          <w:p w14:paraId="7D7A79C1" w14:textId="77777777" w:rsidR="00222FC2" w:rsidRPr="00B43014" w:rsidRDefault="00222FC2" w:rsidP="004F18B6">
            <w:pPr>
              <w:pStyle w:val="ListParagraph"/>
              <w:numPr>
                <w:ilvl w:val="0"/>
                <w:numId w:val="106"/>
              </w:numPr>
              <w:jc w:val="both"/>
              <w:rPr>
                <w:rFonts w:ascii="Calibri" w:hAnsi="Calibri" w:cs="Calibri"/>
                <w:szCs w:val="24"/>
              </w:rPr>
            </w:pPr>
            <w:r w:rsidRPr="00B43014">
              <w:rPr>
                <w:rFonts w:ascii="Calibri" w:hAnsi="Calibri" w:cs="Calibri"/>
                <w:szCs w:val="24"/>
                <w:lang w:val="en-US"/>
              </w:rPr>
              <w:t>are expected to settle within the standard settlement cycle or period that is customary for the relevant exchange or type of transaction</w:t>
            </w:r>
            <w:r>
              <w:rPr>
                <w:rFonts w:ascii="Calibri" w:hAnsi="Calibri" w:cs="Calibri"/>
                <w:szCs w:val="24"/>
                <w:lang w:val="en-US"/>
              </w:rPr>
              <w:t>;</w:t>
            </w:r>
            <w:r w:rsidRPr="00B43014">
              <w:rPr>
                <w:rFonts w:ascii="Calibri" w:hAnsi="Calibri" w:cs="Calibri"/>
                <w:szCs w:val="24"/>
                <w:lang w:val="en-US"/>
              </w:rPr>
              <w:t xml:space="preserve"> or</w:t>
            </w:r>
          </w:p>
          <w:p w14:paraId="5E9DDD6B" w14:textId="77777777" w:rsidR="00222FC2" w:rsidRPr="00B43014" w:rsidRDefault="00222FC2" w:rsidP="004F18B6">
            <w:pPr>
              <w:pStyle w:val="ListParagraph"/>
              <w:numPr>
                <w:ilvl w:val="0"/>
                <w:numId w:val="106"/>
              </w:numPr>
              <w:jc w:val="both"/>
              <w:rPr>
                <w:rFonts w:ascii="Calibri" w:hAnsi="Calibri" w:cs="Calibri"/>
                <w:szCs w:val="24"/>
              </w:rPr>
            </w:pPr>
            <w:r w:rsidRPr="00B43014">
              <w:rPr>
                <w:rFonts w:ascii="Calibri" w:hAnsi="Calibri" w:cs="Calibri"/>
                <w:szCs w:val="24"/>
                <w:lang w:val="en-US"/>
              </w:rPr>
              <w:t>have failed to, but are still expected to, settle.</w:t>
            </w:r>
          </w:p>
          <w:p w14:paraId="55B1DA64" w14:textId="77777777" w:rsidR="00222FC2" w:rsidRDefault="00222FC2" w:rsidP="004F18B6">
            <w:pPr>
              <w:contextualSpacing/>
            </w:pPr>
          </w:p>
          <w:p w14:paraId="53CC1CCF" w14:textId="587A0963" w:rsidR="00F25F5A" w:rsidRDefault="00F25F5A" w:rsidP="004F18B6">
            <w:pPr>
              <w:contextualSpacing/>
            </w:pPr>
            <w:r>
              <w:rPr>
                <w:rFonts w:ascii="Calibri" w:hAnsi="Calibri" w:cs="Calibri"/>
                <w:szCs w:val="24"/>
              </w:rPr>
              <w:t>For NSFR reporting these are all treated as being less than 6 months maturity.</w:t>
            </w:r>
          </w:p>
          <w:p w14:paraId="694438E5" w14:textId="77777777" w:rsidR="00F25F5A" w:rsidRDefault="00F25F5A" w:rsidP="004F18B6">
            <w:pPr>
              <w:contextualSpacing/>
            </w:pPr>
          </w:p>
        </w:tc>
      </w:tr>
      <w:tr w:rsidR="00222FC2" w14:paraId="361D987B" w14:textId="77777777" w:rsidTr="004F18B6">
        <w:trPr>
          <w:trHeight w:val="352"/>
        </w:trPr>
        <w:tc>
          <w:tcPr>
            <w:tcW w:w="988" w:type="dxa"/>
          </w:tcPr>
          <w:p w14:paraId="4BD30987" w14:textId="77777777" w:rsidR="00222FC2" w:rsidRPr="00E6642B" w:rsidRDefault="00222FC2" w:rsidP="004F18B6">
            <w:r>
              <w:t>ASF.14</w:t>
            </w:r>
          </w:p>
        </w:tc>
        <w:tc>
          <w:tcPr>
            <w:tcW w:w="7957" w:type="dxa"/>
          </w:tcPr>
          <w:p w14:paraId="7A2169EA" w14:textId="77777777" w:rsidR="00222FC2" w:rsidRDefault="00222FC2" w:rsidP="004F18B6">
            <w:pPr>
              <w:contextualSpacing/>
              <w:rPr>
                <w:rFonts w:ascii="Calibri" w:hAnsi="Calibri" w:cs="Calibri"/>
                <w:b/>
                <w:bCs/>
                <w:szCs w:val="24"/>
              </w:rPr>
            </w:pPr>
            <w:r>
              <w:rPr>
                <w:rFonts w:ascii="Calibri" w:hAnsi="Calibri" w:cs="Calibri"/>
                <w:b/>
                <w:bCs/>
                <w:szCs w:val="24"/>
              </w:rPr>
              <w:t>Total Available Stable Funding</w:t>
            </w:r>
          </w:p>
          <w:p w14:paraId="6EE92918" w14:textId="77777777" w:rsidR="00222FC2" w:rsidRDefault="00222FC2" w:rsidP="004F18B6">
            <w:pPr>
              <w:contextualSpacing/>
              <w:rPr>
                <w:rFonts w:ascii="Calibri" w:hAnsi="Calibri" w:cs="Calibri"/>
                <w:szCs w:val="24"/>
              </w:rPr>
            </w:pPr>
            <w:r>
              <w:rPr>
                <w:rFonts w:ascii="Calibri" w:hAnsi="Calibri" w:cs="Calibri"/>
                <w:szCs w:val="24"/>
              </w:rPr>
              <w:t>Calculated automatically as the sum of ASF.1 to ASF.13.</w:t>
            </w:r>
          </w:p>
          <w:p w14:paraId="01DA7DED" w14:textId="77777777" w:rsidR="00222FC2" w:rsidRDefault="00222FC2" w:rsidP="004F18B6">
            <w:pPr>
              <w:contextualSpacing/>
              <w:jc w:val="both"/>
            </w:pPr>
          </w:p>
        </w:tc>
      </w:tr>
    </w:tbl>
    <w:p w14:paraId="4DD7A7B1" w14:textId="77777777" w:rsidR="00222FC2" w:rsidRDefault="00222FC2"/>
    <w:p w14:paraId="207E42DD" w14:textId="77777777" w:rsidR="00222FC2" w:rsidRDefault="00222FC2"/>
    <w:p w14:paraId="48F026DB" w14:textId="112BFA72" w:rsidR="00F939E8" w:rsidRDefault="00222FC2" w:rsidP="00374149">
      <w:pPr>
        <w:pStyle w:val="Heading1"/>
        <w:numPr>
          <w:ilvl w:val="0"/>
          <w:numId w:val="7"/>
        </w:numPr>
        <w:spacing w:before="240"/>
        <w:rPr>
          <w:color w:val="005782"/>
        </w:rPr>
      </w:pPr>
      <w:bookmarkStart w:id="10" w:name="_Toc201849535"/>
      <w:r>
        <w:rPr>
          <w:color w:val="005782"/>
        </w:rPr>
        <w:lastRenderedPageBreak/>
        <w:t>Net Stable Funding Ratio (NSFR) – Required Stable Funding (RSF)</w:t>
      </w:r>
      <w:bookmarkEnd w:id="10"/>
    </w:p>
    <w:tbl>
      <w:tblPr>
        <w:tblStyle w:val="TableGrid"/>
        <w:tblW w:w="8945" w:type="dxa"/>
        <w:tblBorders>
          <w:top w:val="single" w:sz="4" w:space="0" w:color="775431"/>
          <w:left w:val="single" w:sz="4" w:space="0" w:color="775431"/>
          <w:bottom w:val="single" w:sz="4" w:space="0" w:color="775431"/>
          <w:right w:val="single" w:sz="4" w:space="0" w:color="775431"/>
          <w:insideH w:val="single" w:sz="4" w:space="0" w:color="775431"/>
          <w:insideV w:val="single" w:sz="4" w:space="0" w:color="775431"/>
        </w:tblBorders>
        <w:tblLook w:val="04A0" w:firstRow="1" w:lastRow="0" w:firstColumn="1" w:lastColumn="0" w:noHBand="0" w:noVBand="1"/>
      </w:tblPr>
      <w:tblGrid>
        <w:gridCol w:w="988"/>
        <w:gridCol w:w="7957"/>
      </w:tblGrid>
      <w:tr w:rsidR="00222FC2" w14:paraId="04628D12" w14:textId="77777777" w:rsidTr="004F18B6">
        <w:trPr>
          <w:trHeight w:val="352"/>
        </w:trPr>
        <w:tc>
          <w:tcPr>
            <w:tcW w:w="8945" w:type="dxa"/>
            <w:gridSpan w:val="2"/>
            <w:shd w:val="clear" w:color="auto" w:fill="005782"/>
          </w:tcPr>
          <w:p w14:paraId="55628810" w14:textId="2EE28C4D" w:rsidR="00222FC2" w:rsidRDefault="00222FC2" w:rsidP="004F18B6">
            <w:pPr>
              <w:jc w:val="center"/>
              <w:rPr>
                <w:b/>
                <w:bCs/>
                <w:color w:val="FFFFFF" w:themeColor="background1"/>
              </w:rPr>
            </w:pPr>
            <w:r w:rsidRPr="00222FC2">
              <w:rPr>
                <w:b/>
                <w:bCs/>
                <w:color w:val="FFFFFF" w:themeColor="background1"/>
              </w:rPr>
              <w:t xml:space="preserve">Required Stable Funding (RSF) – Items </w:t>
            </w:r>
            <w:r>
              <w:rPr>
                <w:b/>
                <w:bCs/>
                <w:color w:val="FFFFFF" w:themeColor="background1"/>
              </w:rPr>
              <w:t>RSF</w:t>
            </w:r>
            <w:r w:rsidR="001E32B0">
              <w:rPr>
                <w:b/>
                <w:bCs/>
                <w:color w:val="FFFFFF" w:themeColor="background1"/>
              </w:rPr>
              <w:t>.1 to RSF.28</w:t>
            </w:r>
          </w:p>
          <w:p w14:paraId="12272FD4" w14:textId="47D180DC" w:rsidR="001E32B0" w:rsidRPr="00222FC2" w:rsidRDefault="001E32B0" w:rsidP="004F18B6">
            <w:pPr>
              <w:jc w:val="center"/>
              <w:rPr>
                <w:b/>
                <w:bCs/>
                <w:color w:val="FFFFFF" w:themeColor="background1"/>
              </w:rPr>
            </w:pPr>
          </w:p>
        </w:tc>
      </w:tr>
      <w:tr w:rsidR="00222FC2" w14:paraId="2C3ABD74" w14:textId="77777777" w:rsidTr="004F18B6">
        <w:trPr>
          <w:trHeight w:val="352"/>
        </w:trPr>
        <w:tc>
          <w:tcPr>
            <w:tcW w:w="8945" w:type="dxa"/>
            <w:gridSpan w:val="2"/>
          </w:tcPr>
          <w:p w14:paraId="0E0238D8" w14:textId="77777777" w:rsidR="00222FC2" w:rsidRDefault="00222FC2" w:rsidP="00222FC2">
            <w:pPr>
              <w:contextualSpacing/>
              <w:jc w:val="both"/>
              <w:rPr>
                <w:szCs w:val="24"/>
              </w:rPr>
            </w:pPr>
            <w:r w:rsidRPr="00A33983">
              <w:rPr>
                <w:szCs w:val="24"/>
              </w:rPr>
              <w:t xml:space="preserve">The amount of RSF is measured based on the broad characteristics of the liquidity risk profile of </w:t>
            </w:r>
            <w:r>
              <w:rPr>
                <w:szCs w:val="24"/>
              </w:rPr>
              <w:t>a bank’s</w:t>
            </w:r>
            <w:r w:rsidRPr="00A33983">
              <w:rPr>
                <w:szCs w:val="24"/>
              </w:rPr>
              <w:t xml:space="preserve"> assets and of</w:t>
            </w:r>
            <w:r>
              <w:rPr>
                <w:szCs w:val="24"/>
              </w:rPr>
              <w:t>f</w:t>
            </w:r>
            <w:r w:rsidRPr="00A33983">
              <w:rPr>
                <w:szCs w:val="24"/>
              </w:rPr>
              <w:t>-balance-sheet exposures.</w:t>
            </w:r>
          </w:p>
          <w:p w14:paraId="064B5F29" w14:textId="77777777" w:rsidR="00222FC2" w:rsidRDefault="00222FC2" w:rsidP="00222FC2">
            <w:pPr>
              <w:contextualSpacing/>
              <w:jc w:val="both"/>
              <w:rPr>
                <w:szCs w:val="24"/>
              </w:rPr>
            </w:pPr>
          </w:p>
          <w:p w14:paraId="1BF65D91" w14:textId="3CF3F939" w:rsidR="00F03FD8" w:rsidRDefault="00222FC2" w:rsidP="00CA6C88">
            <w:pPr>
              <w:contextualSpacing/>
              <w:jc w:val="both"/>
              <w:rPr>
                <w:szCs w:val="24"/>
              </w:rPr>
            </w:pPr>
            <w:r w:rsidRPr="00A33983">
              <w:rPr>
                <w:szCs w:val="24"/>
              </w:rPr>
              <w:t>The amount of RSF is calculated by f</w:t>
            </w:r>
            <w:r>
              <w:rPr>
                <w:szCs w:val="24"/>
              </w:rPr>
              <w:t>i</w:t>
            </w:r>
            <w:r w:rsidRPr="00A33983">
              <w:rPr>
                <w:szCs w:val="24"/>
              </w:rPr>
              <w:t xml:space="preserve">rst assigning the carrying value </w:t>
            </w:r>
            <w:r w:rsidR="00CA6C88">
              <w:rPr>
                <w:szCs w:val="24"/>
              </w:rPr>
              <w:t xml:space="preserve">(referred to as the “amount” in the return) </w:t>
            </w:r>
            <w:r w:rsidRPr="00A33983">
              <w:rPr>
                <w:szCs w:val="24"/>
              </w:rPr>
              <w:t>of a</w:t>
            </w:r>
            <w:r w:rsidR="00CA6C88">
              <w:rPr>
                <w:szCs w:val="24"/>
              </w:rPr>
              <w:t xml:space="preserve"> bank’s</w:t>
            </w:r>
            <w:r w:rsidRPr="00A33983">
              <w:rPr>
                <w:szCs w:val="24"/>
              </w:rPr>
              <w:t xml:space="preserve"> assets to the categories listed below. The carrying value of an asset item should generally be recorded by following its accounting value, i</w:t>
            </w:r>
            <w:r>
              <w:rPr>
                <w:szCs w:val="24"/>
              </w:rPr>
              <w:t>.</w:t>
            </w:r>
            <w:r w:rsidRPr="00A33983">
              <w:rPr>
                <w:szCs w:val="24"/>
              </w:rPr>
              <w:t>e</w:t>
            </w:r>
            <w:r>
              <w:rPr>
                <w:szCs w:val="24"/>
              </w:rPr>
              <w:t>.</w:t>
            </w:r>
            <w:r w:rsidRPr="00A33983">
              <w:rPr>
                <w:szCs w:val="24"/>
              </w:rPr>
              <w:t xml:space="preserve"> net of specif</w:t>
            </w:r>
            <w:r>
              <w:rPr>
                <w:szCs w:val="24"/>
              </w:rPr>
              <w:t>i</w:t>
            </w:r>
            <w:r w:rsidRPr="00A33983">
              <w:rPr>
                <w:szCs w:val="24"/>
              </w:rPr>
              <w:t>c provisions, and the requirements for on-balance sheet, non-derivative assets</w:t>
            </w:r>
            <w:r w:rsidR="00B4536E">
              <w:rPr>
                <w:szCs w:val="24"/>
              </w:rPr>
              <w:t>.</w:t>
            </w:r>
          </w:p>
          <w:p w14:paraId="3234D5A1" w14:textId="6188B5FF" w:rsidR="00222FC2" w:rsidRDefault="00222FC2" w:rsidP="00222FC2">
            <w:pPr>
              <w:contextualSpacing/>
              <w:jc w:val="both"/>
              <w:rPr>
                <w:szCs w:val="24"/>
              </w:rPr>
            </w:pPr>
          </w:p>
          <w:p w14:paraId="33266228" w14:textId="09E398A1" w:rsidR="00CA6C88" w:rsidRDefault="00222FC2" w:rsidP="00222FC2">
            <w:pPr>
              <w:contextualSpacing/>
              <w:jc w:val="both"/>
              <w:rPr>
                <w:szCs w:val="24"/>
              </w:rPr>
            </w:pPr>
            <w:r w:rsidRPr="00A33983">
              <w:rPr>
                <w:szCs w:val="24"/>
              </w:rPr>
              <w:t>The amount assigned to each category is then multiplied by its associated RSF factor</w:t>
            </w:r>
            <w:r w:rsidR="00CA6C88">
              <w:rPr>
                <w:szCs w:val="24"/>
              </w:rPr>
              <w:t>(s)</w:t>
            </w:r>
            <w:r w:rsidRPr="00A33983">
              <w:rPr>
                <w:szCs w:val="24"/>
              </w:rPr>
              <w:t>, and the</w:t>
            </w:r>
            <w:r w:rsidR="00CA6C88">
              <w:rPr>
                <w:szCs w:val="24"/>
              </w:rPr>
              <w:t xml:space="preserve"> “calculated amount”</w:t>
            </w:r>
            <w:r w:rsidRPr="00A33983">
              <w:rPr>
                <w:szCs w:val="24"/>
              </w:rPr>
              <w:t xml:space="preserve"> </w:t>
            </w:r>
            <w:r w:rsidR="00CA6C88">
              <w:rPr>
                <w:szCs w:val="24"/>
              </w:rPr>
              <w:t xml:space="preserve">is the </w:t>
            </w:r>
            <w:r w:rsidR="00CA6C88" w:rsidRPr="00CA6C88">
              <w:rPr>
                <w:szCs w:val="24"/>
              </w:rPr>
              <w:t>total RSF for each applicable category.</w:t>
            </w:r>
            <w:r w:rsidR="00CA6C88">
              <w:rPr>
                <w:szCs w:val="24"/>
              </w:rPr>
              <w:t xml:space="preserve">  There are </w:t>
            </w:r>
            <w:r w:rsidR="00721585">
              <w:rPr>
                <w:szCs w:val="24"/>
              </w:rPr>
              <w:t>8</w:t>
            </w:r>
            <w:r w:rsidR="00CA6C88">
              <w:rPr>
                <w:szCs w:val="24"/>
              </w:rPr>
              <w:t xml:space="preserve"> factors applied: </w:t>
            </w:r>
            <w:r w:rsidR="00721585">
              <w:rPr>
                <w:szCs w:val="24"/>
              </w:rPr>
              <w:t>0%, 5%, 10%, 15%, 50%, 65%, 85% and 100%.</w:t>
            </w:r>
            <w:r w:rsidR="00B4536E">
              <w:rPr>
                <w:szCs w:val="24"/>
              </w:rPr>
              <w:t xml:space="preserve">  The total RSF is the sum of these on balance sheet </w:t>
            </w:r>
            <w:r w:rsidR="00B4536E" w:rsidRPr="00B4536E">
              <w:rPr>
                <w:szCs w:val="24"/>
              </w:rPr>
              <w:t>calculated amounts</w:t>
            </w:r>
            <w:r w:rsidRPr="00B4536E">
              <w:rPr>
                <w:szCs w:val="24"/>
              </w:rPr>
              <w:t xml:space="preserve"> added to the amount of of</w:t>
            </w:r>
            <w:r w:rsidR="00467749">
              <w:rPr>
                <w:szCs w:val="24"/>
              </w:rPr>
              <w:t>f</w:t>
            </w:r>
            <w:r w:rsidRPr="00B4536E">
              <w:rPr>
                <w:szCs w:val="24"/>
              </w:rPr>
              <w:t>-balance-sheet activity (or potential liquidity exposure) multiplied by its associated RSF factor</w:t>
            </w:r>
            <w:r w:rsidR="00B4536E" w:rsidRPr="00B4536E">
              <w:rPr>
                <w:szCs w:val="24"/>
              </w:rPr>
              <w:t>(s)</w:t>
            </w:r>
            <w:r w:rsidRPr="00B4536E">
              <w:rPr>
                <w:szCs w:val="24"/>
              </w:rPr>
              <w:t>.</w:t>
            </w:r>
            <w:r w:rsidRPr="00A33983">
              <w:rPr>
                <w:szCs w:val="24"/>
              </w:rPr>
              <w:t xml:space="preserve"> </w:t>
            </w:r>
          </w:p>
          <w:p w14:paraId="430D0D40" w14:textId="77777777" w:rsidR="00465ABD" w:rsidRDefault="00465ABD" w:rsidP="00222FC2">
            <w:pPr>
              <w:contextualSpacing/>
              <w:jc w:val="both"/>
              <w:rPr>
                <w:szCs w:val="24"/>
              </w:rPr>
            </w:pPr>
          </w:p>
          <w:p w14:paraId="7E684BB9" w14:textId="60575B1C" w:rsidR="00674D36" w:rsidRDefault="00674D36" w:rsidP="00222FC2">
            <w:pPr>
              <w:contextualSpacing/>
              <w:jc w:val="both"/>
              <w:rPr>
                <w:szCs w:val="24"/>
              </w:rPr>
            </w:pPr>
            <w:r w:rsidRPr="005C24C8">
              <w:rPr>
                <w:szCs w:val="24"/>
              </w:rPr>
              <w:t xml:space="preserve">In completing this section of the </w:t>
            </w:r>
            <w:r w:rsidR="005C24C8">
              <w:rPr>
                <w:szCs w:val="24"/>
              </w:rPr>
              <w:t xml:space="preserve">return </w:t>
            </w:r>
            <w:r w:rsidRPr="005C24C8">
              <w:rPr>
                <w:szCs w:val="24"/>
              </w:rPr>
              <w:t xml:space="preserve">banks should allocate the assets recorded on their balance sheet to the appropriate RSF category. For purposes of determining its </w:t>
            </w:r>
            <w:r w:rsidR="005C24C8">
              <w:rPr>
                <w:szCs w:val="24"/>
              </w:rPr>
              <w:t>RSF</w:t>
            </w:r>
            <w:r w:rsidRPr="005C24C8">
              <w:rPr>
                <w:szCs w:val="24"/>
              </w:rPr>
              <w:t xml:space="preserve">, a bank should </w:t>
            </w:r>
            <w:r w:rsidRPr="005C24C8">
              <w:rPr>
                <w:szCs w:val="24"/>
                <w:u w:val="single"/>
              </w:rPr>
              <w:t>include</w:t>
            </w:r>
            <w:r w:rsidRPr="005C24C8">
              <w:rPr>
                <w:szCs w:val="24"/>
              </w:rPr>
              <w:t xml:space="preserve"> financial instruments, foreign currencies and commodities for which a purchase order has been executed, and </w:t>
            </w:r>
            <w:r w:rsidRPr="005C24C8">
              <w:rPr>
                <w:szCs w:val="24"/>
                <w:u w:val="single"/>
              </w:rPr>
              <w:t>exclude</w:t>
            </w:r>
            <w:r w:rsidRPr="005C24C8">
              <w:rPr>
                <w:szCs w:val="24"/>
              </w:rPr>
              <w:t xml:space="preserve"> financial instruments, foreign currencies and commodities for which a sales order has been executed, even if such transactions have not been reflected in the balance sheet under a settlement-date accounting model, provided that (</w:t>
            </w:r>
            <w:proofErr w:type="spellStart"/>
            <w:r w:rsidRPr="005C24C8">
              <w:rPr>
                <w:szCs w:val="24"/>
              </w:rPr>
              <w:t>i</w:t>
            </w:r>
            <w:proofErr w:type="spellEnd"/>
            <w:r w:rsidRPr="005C24C8">
              <w:rPr>
                <w:szCs w:val="24"/>
              </w:rPr>
              <w:t xml:space="preserve">) such transactions are not reflected as derivatives or secured financing transactions in the </w:t>
            </w:r>
            <w:r w:rsidR="005C24C8" w:rsidRPr="005C24C8">
              <w:rPr>
                <w:szCs w:val="24"/>
              </w:rPr>
              <w:t>bank’s</w:t>
            </w:r>
            <w:r w:rsidRPr="005C24C8">
              <w:rPr>
                <w:szCs w:val="24"/>
              </w:rPr>
              <w:t xml:space="preserve"> balance sheet, and (ii) the effects of such transactions will be reflected in the </w:t>
            </w:r>
            <w:r w:rsidR="005C24C8" w:rsidRPr="005C24C8">
              <w:rPr>
                <w:szCs w:val="24"/>
              </w:rPr>
              <w:t>bank’s</w:t>
            </w:r>
            <w:r w:rsidRPr="005C24C8">
              <w:rPr>
                <w:szCs w:val="24"/>
              </w:rPr>
              <w:t xml:space="preserve"> balance sheet when settled.</w:t>
            </w:r>
          </w:p>
          <w:p w14:paraId="36554046" w14:textId="77777777" w:rsidR="00674D36" w:rsidRDefault="00674D36" w:rsidP="00222FC2">
            <w:pPr>
              <w:contextualSpacing/>
              <w:jc w:val="both"/>
              <w:rPr>
                <w:szCs w:val="24"/>
              </w:rPr>
            </w:pPr>
          </w:p>
          <w:p w14:paraId="41908922" w14:textId="1C271501" w:rsidR="00465ABD" w:rsidRDefault="00465ABD" w:rsidP="00222FC2">
            <w:pPr>
              <w:contextualSpacing/>
              <w:jc w:val="both"/>
              <w:rPr>
                <w:szCs w:val="24"/>
              </w:rPr>
            </w:pPr>
            <w:r>
              <w:rPr>
                <w:szCs w:val="24"/>
              </w:rPr>
              <w:t>D</w:t>
            </w:r>
            <w:r w:rsidRPr="00465ABD">
              <w:rPr>
                <w:szCs w:val="24"/>
              </w:rPr>
              <w:t xml:space="preserve">efinitions in the NSFR </w:t>
            </w:r>
            <w:r>
              <w:rPr>
                <w:szCs w:val="24"/>
              </w:rPr>
              <w:t xml:space="preserve">for RSF </w:t>
            </w:r>
            <w:r w:rsidRPr="00465ABD">
              <w:rPr>
                <w:szCs w:val="24"/>
              </w:rPr>
              <w:t>mirror those in the LCR</w:t>
            </w:r>
            <w:r w:rsidR="00467749">
              <w:rPr>
                <w:szCs w:val="24"/>
              </w:rPr>
              <w:t xml:space="preserve"> Reporting Form Guidance</w:t>
            </w:r>
            <w:r w:rsidRPr="00465ABD">
              <w:rPr>
                <w:szCs w:val="24"/>
              </w:rPr>
              <w:t xml:space="preserve">, unless otherwise specified. </w:t>
            </w:r>
            <w:r>
              <w:rPr>
                <w:szCs w:val="24"/>
              </w:rPr>
              <w:t>Of note</w:t>
            </w:r>
            <w:r w:rsidRPr="00465ABD">
              <w:rPr>
                <w:szCs w:val="24"/>
              </w:rPr>
              <w:t xml:space="preserve">, for purposes of calculating the </w:t>
            </w:r>
            <w:r>
              <w:rPr>
                <w:szCs w:val="24"/>
              </w:rPr>
              <w:t>RSF</w:t>
            </w:r>
            <w:r w:rsidRPr="00465ABD">
              <w:rPr>
                <w:szCs w:val="24"/>
              </w:rPr>
              <w:t>, HQLA is defined as all HQLA without regard to LCR operational requirements and LCR caps on Level 2 and Level 2B assets that may limit the ability of some HQLA to be included as eligible HQLA in the calculation of the LCR.</w:t>
            </w:r>
          </w:p>
          <w:p w14:paraId="7DE4BE10" w14:textId="77777777" w:rsidR="00B4536E" w:rsidRDefault="00B4536E" w:rsidP="00222FC2">
            <w:pPr>
              <w:contextualSpacing/>
              <w:jc w:val="both"/>
              <w:rPr>
                <w:szCs w:val="24"/>
              </w:rPr>
            </w:pPr>
          </w:p>
          <w:p w14:paraId="30F6C63D" w14:textId="40C01C79" w:rsidR="00B4536E" w:rsidRDefault="00926CB8" w:rsidP="00222FC2">
            <w:pPr>
              <w:contextualSpacing/>
              <w:jc w:val="both"/>
              <w:rPr>
                <w:i/>
                <w:iCs/>
                <w:szCs w:val="24"/>
                <w:u w:val="single"/>
              </w:rPr>
            </w:pPr>
            <w:r>
              <w:rPr>
                <w:i/>
                <w:iCs/>
                <w:szCs w:val="24"/>
                <w:u w:val="single"/>
              </w:rPr>
              <w:t>Treatment of maturity</w:t>
            </w:r>
          </w:p>
          <w:p w14:paraId="54D8A7CA" w14:textId="77777777" w:rsidR="00926CB8" w:rsidRDefault="00926CB8" w:rsidP="00135FC3">
            <w:pPr>
              <w:contextualSpacing/>
              <w:jc w:val="both"/>
              <w:rPr>
                <w:szCs w:val="24"/>
                <w:highlight w:val="yellow"/>
              </w:rPr>
            </w:pPr>
            <w:r w:rsidRPr="00926CB8">
              <w:rPr>
                <w:szCs w:val="24"/>
              </w:rPr>
              <w:t xml:space="preserve">Unless otherwise stated, banks </w:t>
            </w:r>
            <w:r w:rsidR="00135FC3" w:rsidRPr="00926CB8">
              <w:rPr>
                <w:szCs w:val="24"/>
              </w:rPr>
              <w:t xml:space="preserve">should allocate all assets to the appropriate columns </w:t>
            </w:r>
            <w:r w:rsidRPr="00926CB8">
              <w:rPr>
                <w:szCs w:val="24"/>
              </w:rPr>
              <w:t xml:space="preserve">(maturity buckets and RSF factors) in the return </w:t>
            </w:r>
            <w:r w:rsidR="00135FC3" w:rsidRPr="00926CB8">
              <w:rPr>
                <w:szCs w:val="24"/>
              </w:rPr>
              <w:t>based on their residual maturity or liquidity value.</w:t>
            </w:r>
          </w:p>
          <w:p w14:paraId="0CF32509" w14:textId="77777777" w:rsidR="00926CB8" w:rsidRDefault="00926CB8" w:rsidP="00135FC3">
            <w:pPr>
              <w:contextualSpacing/>
              <w:jc w:val="both"/>
              <w:rPr>
                <w:szCs w:val="24"/>
                <w:highlight w:val="yellow"/>
              </w:rPr>
            </w:pPr>
          </w:p>
          <w:p w14:paraId="1EB19C32" w14:textId="0DE8BB5A" w:rsidR="00A932C6" w:rsidRDefault="00135FC3" w:rsidP="00135FC3">
            <w:pPr>
              <w:contextualSpacing/>
              <w:jc w:val="both"/>
              <w:rPr>
                <w:szCs w:val="24"/>
                <w:highlight w:val="yellow"/>
              </w:rPr>
            </w:pPr>
            <w:r w:rsidRPr="00926CB8">
              <w:rPr>
                <w:szCs w:val="24"/>
              </w:rPr>
              <w:t>When determining the maturity of an instrument, investors are assumed to exercise any option to extend maturity.</w:t>
            </w:r>
            <w:r w:rsidR="00926CB8" w:rsidRPr="00926CB8">
              <w:rPr>
                <w:szCs w:val="24"/>
              </w:rPr>
              <w:t xml:space="preserve"> </w:t>
            </w:r>
            <w:r w:rsidRPr="00A932C6">
              <w:rPr>
                <w:szCs w:val="24"/>
              </w:rPr>
              <w:t xml:space="preserve">For assets with options </w:t>
            </w:r>
            <w:r w:rsidR="00A932C6" w:rsidRPr="00A932C6">
              <w:rPr>
                <w:szCs w:val="24"/>
              </w:rPr>
              <w:t xml:space="preserve">to extend </w:t>
            </w:r>
            <w:r w:rsidRPr="00A932C6">
              <w:rPr>
                <w:szCs w:val="24"/>
              </w:rPr>
              <w:t>exercisable at the bank’s discretion</w:t>
            </w:r>
            <w:r w:rsidRPr="00154E4A">
              <w:rPr>
                <w:szCs w:val="24"/>
              </w:rPr>
              <w:t xml:space="preserve">, where the market expects certain assets to be extended in their maturity, banks should assume such behaviour for the purpose of the NSFR and include these assets in the corresponding </w:t>
            </w:r>
            <w:r w:rsidR="00154E4A">
              <w:rPr>
                <w:szCs w:val="24"/>
              </w:rPr>
              <w:t xml:space="preserve">maturity band (and </w:t>
            </w:r>
            <w:r w:rsidRPr="00154E4A">
              <w:rPr>
                <w:szCs w:val="24"/>
              </w:rPr>
              <w:t xml:space="preserve">RSF </w:t>
            </w:r>
            <w:r w:rsidR="00AC0127">
              <w:rPr>
                <w:szCs w:val="24"/>
              </w:rPr>
              <w:t>Item</w:t>
            </w:r>
            <w:r w:rsidR="00154E4A">
              <w:rPr>
                <w:szCs w:val="24"/>
              </w:rPr>
              <w:t>)</w:t>
            </w:r>
            <w:r w:rsidRPr="00154E4A">
              <w:rPr>
                <w:szCs w:val="24"/>
              </w:rPr>
              <w:t>.</w:t>
            </w:r>
          </w:p>
          <w:p w14:paraId="0F71C1F8" w14:textId="77777777" w:rsidR="00A932C6" w:rsidRDefault="00A932C6" w:rsidP="00135FC3">
            <w:pPr>
              <w:contextualSpacing/>
              <w:jc w:val="both"/>
              <w:rPr>
                <w:szCs w:val="24"/>
                <w:highlight w:val="yellow"/>
              </w:rPr>
            </w:pPr>
          </w:p>
          <w:p w14:paraId="06093D21" w14:textId="19055D89" w:rsidR="00135FC3" w:rsidRDefault="00135FC3" w:rsidP="00135FC3">
            <w:pPr>
              <w:contextualSpacing/>
              <w:jc w:val="both"/>
              <w:rPr>
                <w:szCs w:val="24"/>
              </w:rPr>
            </w:pPr>
            <w:r w:rsidRPr="00A932C6">
              <w:rPr>
                <w:szCs w:val="24"/>
              </w:rPr>
              <w:lastRenderedPageBreak/>
              <w:t>For amortising loans,</w:t>
            </w:r>
            <w:r w:rsidR="00A932C6" w:rsidRPr="00A932C6">
              <w:rPr>
                <w:szCs w:val="24"/>
              </w:rPr>
              <w:t xml:space="preserve"> (or other principal repayment claims)</w:t>
            </w:r>
            <w:r w:rsidRPr="00A932C6">
              <w:rPr>
                <w:szCs w:val="24"/>
              </w:rPr>
              <w:t xml:space="preserve"> the portion that comes due within the one-year horizon can be treated in the less than </w:t>
            </w:r>
            <w:r w:rsidR="00E31D43" w:rsidRPr="00A932C6">
              <w:rPr>
                <w:szCs w:val="24"/>
              </w:rPr>
              <w:t>one-year</w:t>
            </w:r>
            <w:r w:rsidRPr="00A932C6">
              <w:rPr>
                <w:szCs w:val="24"/>
              </w:rPr>
              <w:t xml:space="preserve"> residual maturity categories.</w:t>
            </w:r>
          </w:p>
          <w:p w14:paraId="44E7B621" w14:textId="77777777" w:rsidR="00A932C6" w:rsidRDefault="00A932C6" w:rsidP="00135FC3">
            <w:pPr>
              <w:contextualSpacing/>
              <w:jc w:val="both"/>
              <w:rPr>
                <w:szCs w:val="24"/>
              </w:rPr>
            </w:pPr>
          </w:p>
          <w:p w14:paraId="09F75CDB" w14:textId="0D775685" w:rsidR="00A932C6" w:rsidRDefault="00A932C6" w:rsidP="00135FC3">
            <w:pPr>
              <w:contextualSpacing/>
              <w:jc w:val="both"/>
              <w:rPr>
                <w:szCs w:val="24"/>
              </w:rPr>
            </w:pPr>
            <w:r w:rsidRPr="00A932C6">
              <w:rPr>
                <w:szCs w:val="24"/>
              </w:rPr>
              <w:t>Unencumbered loans without a stated f</w:t>
            </w:r>
            <w:r>
              <w:rPr>
                <w:szCs w:val="24"/>
              </w:rPr>
              <w:t>i</w:t>
            </w:r>
            <w:r w:rsidRPr="00A932C6">
              <w:rPr>
                <w:szCs w:val="24"/>
              </w:rPr>
              <w:t>nal maturity, even where the borrower may repay the loan in full and without penalty charges at the next rate reset date, are deemed to have an ef</w:t>
            </w:r>
            <w:r w:rsidR="001C7573">
              <w:rPr>
                <w:szCs w:val="24"/>
              </w:rPr>
              <w:t>f</w:t>
            </w:r>
            <w:r w:rsidRPr="00A932C6">
              <w:rPr>
                <w:szCs w:val="24"/>
              </w:rPr>
              <w:t xml:space="preserve">ective residual maturity period of more than one year and must be given either a 65% or 85% RSF factor depending on their risk weights under the standardised approach for credit risk. </w:t>
            </w:r>
            <w:r w:rsidR="001C7573">
              <w:rPr>
                <w:szCs w:val="24"/>
              </w:rPr>
              <w:t xml:space="preserve"> </w:t>
            </w:r>
            <w:r w:rsidRPr="00500D0B">
              <w:rPr>
                <w:szCs w:val="24"/>
              </w:rPr>
              <w:t xml:space="preserve">If there is a contractual provision with a review date at which the bank may determine whether a given facility or loan is renewed or not, </w:t>
            </w:r>
            <w:r w:rsidR="00500D0B" w:rsidRPr="00500D0B">
              <w:rPr>
                <w:szCs w:val="24"/>
              </w:rPr>
              <w:t>the Authority</w:t>
            </w:r>
            <w:r w:rsidRPr="00500D0B">
              <w:rPr>
                <w:szCs w:val="24"/>
              </w:rPr>
              <w:t xml:space="preserve"> may authorise</w:t>
            </w:r>
            <w:r w:rsidR="00500D0B" w:rsidRPr="00500D0B">
              <w:rPr>
                <w:szCs w:val="24"/>
              </w:rPr>
              <w:t xml:space="preserve"> a bank</w:t>
            </w:r>
            <w:r w:rsidRPr="00500D0B">
              <w:rPr>
                <w:szCs w:val="24"/>
              </w:rPr>
              <w:t xml:space="preserve">, on a </w:t>
            </w:r>
            <w:r w:rsidR="00500D0B" w:rsidRPr="00500D0B">
              <w:rPr>
                <w:szCs w:val="24"/>
              </w:rPr>
              <w:t>case-by-case</w:t>
            </w:r>
            <w:r w:rsidRPr="00500D0B">
              <w:rPr>
                <w:szCs w:val="24"/>
              </w:rPr>
              <w:t xml:space="preserve"> basis, to use the next review date as the maturity date. In </w:t>
            </w:r>
            <w:r w:rsidR="00500D0B" w:rsidRPr="00500D0B">
              <w:rPr>
                <w:szCs w:val="24"/>
              </w:rPr>
              <w:t xml:space="preserve">considering such authorisation the Authority will </w:t>
            </w:r>
            <w:r w:rsidRPr="00500D0B">
              <w:rPr>
                <w:szCs w:val="24"/>
              </w:rPr>
              <w:t xml:space="preserve">consider the incentives created and the actual likelihood that such facilities/loans will not be renewed. </w:t>
            </w:r>
            <w:proofErr w:type="gramStart"/>
            <w:r w:rsidRPr="00500D0B">
              <w:rPr>
                <w:szCs w:val="24"/>
              </w:rPr>
              <w:t>In particular, options</w:t>
            </w:r>
            <w:proofErr w:type="gramEnd"/>
            <w:r w:rsidRPr="00500D0B">
              <w:rPr>
                <w:szCs w:val="24"/>
              </w:rPr>
              <w:t xml:space="preserve"> by a bank not to renew a given facility should generally be assumed not to be exercised when there may be reputational concerns.</w:t>
            </w:r>
          </w:p>
          <w:p w14:paraId="07C0AF14" w14:textId="77777777" w:rsidR="00135FC3" w:rsidRDefault="00135FC3" w:rsidP="00222FC2">
            <w:pPr>
              <w:contextualSpacing/>
              <w:jc w:val="both"/>
              <w:rPr>
                <w:i/>
                <w:iCs/>
                <w:szCs w:val="24"/>
                <w:u w:val="single"/>
              </w:rPr>
            </w:pPr>
          </w:p>
          <w:p w14:paraId="3ADF91FE" w14:textId="1D9A255B" w:rsidR="00B852A2" w:rsidRDefault="00B852A2" w:rsidP="00222FC2">
            <w:pPr>
              <w:contextualSpacing/>
              <w:jc w:val="both"/>
              <w:rPr>
                <w:i/>
                <w:iCs/>
                <w:szCs w:val="24"/>
                <w:u w:val="single"/>
              </w:rPr>
            </w:pPr>
            <w:r>
              <w:rPr>
                <w:i/>
                <w:iCs/>
                <w:szCs w:val="24"/>
                <w:u w:val="single"/>
              </w:rPr>
              <w:t>Encumbrance</w:t>
            </w:r>
          </w:p>
          <w:p w14:paraId="029806E7" w14:textId="39FB5351" w:rsidR="00B852A2" w:rsidRDefault="00674D36" w:rsidP="00222FC2">
            <w:pPr>
              <w:contextualSpacing/>
              <w:jc w:val="both"/>
              <w:rPr>
                <w:szCs w:val="24"/>
              </w:rPr>
            </w:pPr>
            <w:r w:rsidRPr="005D5833">
              <w:rPr>
                <w:szCs w:val="24"/>
              </w:rPr>
              <w:t>In accordance with the principle that a bank cannot derive liquidity benefit from assets that they have encumbered, banks are required to identify whether specific assets have been encumbered and for what duration</w:t>
            </w:r>
            <w:r w:rsidR="00E31D43">
              <w:rPr>
                <w:szCs w:val="24"/>
              </w:rPr>
              <w:t>.</w:t>
            </w:r>
          </w:p>
          <w:p w14:paraId="6CFD23D3" w14:textId="77777777" w:rsidR="001C7573" w:rsidRDefault="001C7573" w:rsidP="00222FC2">
            <w:pPr>
              <w:contextualSpacing/>
              <w:jc w:val="both"/>
              <w:rPr>
                <w:szCs w:val="24"/>
              </w:rPr>
            </w:pPr>
          </w:p>
          <w:p w14:paraId="71D1B747" w14:textId="77777777" w:rsidR="00717A51" w:rsidRDefault="005D5833" w:rsidP="00222FC2">
            <w:pPr>
              <w:contextualSpacing/>
              <w:jc w:val="both"/>
              <w:rPr>
                <w:szCs w:val="24"/>
              </w:rPr>
            </w:pPr>
            <w:r>
              <w:rPr>
                <w:szCs w:val="24"/>
              </w:rPr>
              <w:t>A</w:t>
            </w:r>
            <w:r w:rsidRPr="005D5833">
              <w:rPr>
                <w:szCs w:val="24"/>
              </w:rPr>
              <w:t>ssets on the balance sheet that are encumbered</w:t>
            </w:r>
            <w:r>
              <w:rPr>
                <w:rStyle w:val="FootnoteReference"/>
                <w:szCs w:val="24"/>
              </w:rPr>
              <w:footnoteReference w:id="3"/>
            </w:r>
            <w:r w:rsidRPr="005D5833">
              <w:rPr>
                <w:szCs w:val="24"/>
              </w:rPr>
              <w:t xml:space="preserve"> for one year or more must receive a 100% RSF factor.</w:t>
            </w:r>
            <w:r>
              <w:rPr>
                <w:szCs w:val="24"/>
              </w:rPr>
              <w:t xml:space="preserve"> </w:t>
            </w:r>
            <w:r w:rsidRPr="005D5833">
              <w:rPr>
                <w:szCs w:val="24"/>
              </w:rPr>
              <w:t>Assets encumbered for a period of between six months and less than one year that would, if unencumbered, receive an RSF factor lower than or equal to 50% must receive a 50% RSF factor. Assets encumbered for between six months and less than one year that would, if unencumbered, receive an RSF factor higher than 50% must retain that higher RSF factor.</w:t>
            </w:r>
          </w:p>
          <w:p w14:paraId="3A7F9455" w14:textId="77777777" w:rsidR="00717A51" w:rsidRDefault="00717A51" w:rsidP="00222FC2">
            <w:pPr>
              <w:contextualSpacing/>
              <w:jc w:val="both"/>
              <w:rPr>
                <w:szCs w:val="24"/>
              </w:rPr>
            </w:pPr>
          </w:p>
          <w:p w14:paraId="2CF59E4E" w14:textId="25653CBD" w:rsidR="001C7573" w:rsidRDefault="005D5833" w:rsidP="00222FC2">
            <w:pPr>
              <w:contextualSpacing/>
              <w:jc w:val="both"/>
              <w:rPr>
                <w:szCs w:val="24"/>
              </w:rPr>
            </w:pPr>
            <w:r w:rsidRPr="005D5833">
              <w:rPr>
                <w:szCs w:val="24"/>
              </w:rPr>
              <w:t xml:space="preserve">Where assets have less than six months remaining in the encumbrance period, those assets may </w:t>
            </w:r>
            <w:r w:rsidR="00717A51">
              <w:rPr>
                <w:szCs w:val="24"/>
              </w:rPr>
              <w:t xml:space="preserve">be reported in the relevant Items for the equivalent unencumbered assets and treated as unencumbered for these purposes, unless a specific treatment is </w:t>
            </w:r>
            <w:r w:rsidR="00065CA4">
              <w:rPr>
                <w:szCs w:val="24"/>
              </w:rPr>
              <w:t xml:space="preserve">otherwise </w:t>
            </w:r>
            <w:r w:rsidR="00717A51">
              <w:rPr>
                <w:szCs w:val="24"/>
              </w:rPr>
              <w:t>stated</w:t>
            </w:r>
            <w:r w:rsidRPr="005D5833">
              <w:rPr>
                <w:szCs w:val="24"/>
              </w:rPr>
              <w:t xml:space="preserve">. </w:t>
            </w:r>
          </w:p>
          <w:p w14:paraId="02CEE7B6" w14:textId="77777777" w:rsidR="00674D36" w:rsidRDefault="00674D36" w:rsidP="00222FC2">
            <w:pPr>
              <w:contextualSpacing/>
              <w:jc w:val="both"/>
              <w:rPr>
                <w:i/>
                <w:iCs/>
                <w:szCs w:val="24"/>
                <w:u w:val="single"/>
              </w:rPr>
            </w:pPr>
          </w:p>
          <w:p w14:paraId="2D146471" w14:textId="4E98AB4D" w:rsidR="00674D36" w:rsidRPr="005C0206" w:rsidRDefault="00674D36" w:rsidP="00222FC2">
            <w:pPr>
              <w:contextualSpacing/>
              <w:jc w:val="both"/>
              <w:rPr>
                <w:i/>
                <w:iCs/>
                <w:szCs w:val="24"/>
                <w:u w:val="single"/>
              </w:rPr>
            </w:pPr>
            <w:r>
              <w:rPr>
                <w:i/>
                <w:iCs/>
                <w:szCs w:val="24"/>
                <w:u w:val="single"/>
              </w:rPr>
              <w:t>Secured financing transactions</w:t>
            </w:r>
          </w:p>
          <w:p w14:paraId="484D0622" w14:textId="74C07A6F" w:rsidR="00222FC2" w:rsidRDefault="004C4C82" w:rsidP="00222FC2">
            <w:pPr>
              <w:contextualSpacing/>
              <w:jc w:val="both"/>
              <w:rPr>
                <w:szCs w:val="24"/>
              </w:rPr>
            </w:pPr>
            <w:r>
              <w:rPr>
                <w:szCs w:val="24"/>
              </w:rPr>
              <w:t>F</w:t>
            </w:r>
            <w:r w:rsidRPr="004C4C82">
              <w:rPr>
                <w:szCs w:val="24"/>
              </w:rPr>
              <w:t>or secured funding arrangements, use of balance sheet and accounting treatments should generally result in banks excluding, from their assets, securities which they have borrowed in securities f</w:t>
            </w:r>
            <w:r w:rsidR="005C0206">
              <w:rPr>
                <w:szCs w:val="24"/>
              </w:rPr>
              <w:t>i</w:t>
            </w:r>
            <w:r w:rsidRPr="004C4C82">
              <w:rPr>
                <w:szCs w:val="24"/>
              </w:rPr>
              <w:t>nancing transactions (such as reverse repos and collateral swaps) where they do not have benef</w:t>
            </w:r>
            <w:r w:rsidR="005C0206">
              <w:rPr>
                <w:szCs w:val="24"/>
              </w:rPr>
              <w:t>i</w:t>
            </w:r>
            <w:r w:rsidRPr="004C4C82">
              <w:rPr>
                <w:szCs w:val="24"/>
              </w:rPr>
              <w:t>cial ownership. In contrast, banks must include securities they have lent in securities f</w:t>
            </w:r>
            <w:r w:rsidR="005C0206">
              <w:rPr>
                <w:szCs w:val="24"/>
              </w:rPr>
              <w:t>i</w:t>
            </w:r>
            <w:r w:rsidRPr="004C4C82">
              <w:rPr>
                <w:szCs w:val="24"/>
              </w:rPr>
              <w:t>nancing transactions where they retain benef</w:t>
            </w:r>
            <w:r w:rsidR="005C0206">
              <w:rPr>
                <w:szCs w:val="24"/>
              </w:rPr>
              <w:t>i</w:t>
            </w:r>
            <w:r w:rsidRPr="004C4C82">
              <w:rPr>
                <w:szCs w:val="24"/>
              </w:rPr>
              <w:t>cial ownership. Banks should also not include any securities they have received through collateral swaps if those securities do not appear on their balance sheets. Where banks have encumbered securities in repos or other securities f</w:t>
            </w:r>
            <w:r w:rsidR="005C0206">
              <w:rPr>
                <w:szCs w:val="24"/>
              </w:rPr>
              <w:t>i</w:t>
            </w:r>
            <w:r w:rsidRPr="004C4C82">
              <w:rPr>
                <w:szCs w:val="24"/>
              </w:rPr>
              <w:t xml:space="preserve">nancing </w:t>
            </w:r>
            <w:r w:rsidR="005C0206" w:rsidRPr="004C4C82">
              <w:rPr>
                <w:szCs w:val="24"/>
              </w:rPr>
              <w:t>transactions but</w:t>
            </w:r>
            <w:r w:rsidRPr="004C4C82">
              <w:rPr>
                <w:szCs w:val="24"/>
              </w:rPr>
              <w:t xml:space="preserve"> have retained benef</w:t>
            </w:r>
            <w:r w:rsidR="005C0206">
              <w:rPr>
                <w:szCs w:val="24"/>
              </w:rPr>
              <w:t>i</w:t>
            </w:r>
            <w:r w:rsidRPr="004C4C82">
              <w:rPr>
                <w:szCs w:val="24"/>
              </w:rPr>
              <w:t>cial ownership and those assets remain on the bank’s balance sheet, the bank must allocate such securities to the appropriate RSF category</w:t>
            </w:r>
            <w:r w:rsidR="005C0206">
              <w:rPr>
                <w:szCs w:val="24"/>
              </w:rPr>
              <w:t>.</w:t>
            </w:r>
          </w:p>
          <w:p w14:paraId="06FB0162" w14:textId="77777777" w:rsidR="004C4C82" w:rsidRDefault="004C4C82" w:rsidP="00222FC2">
            <w:pPr>
              <w:contextualSpacing/>
              <w:jc w:val="both"/>
              <w:rPr>
                <w:szCs w:val="24"/>
              </w:rPr>
            </w:pPr>
          </w:p>
          <w:p w14:paraId="0F60071D" w14:textId="52F473E9" w:rsidR="004C4C82" w:rsidRDefault="004C4C82" w:rsidP="00222FC2">
            <w:pPr>
              <w:contextualSpacing/>
              <w:jc w:val="both"/>
              <w:rPr>
                <w:szCs w:val="24"/>
              </w:rPr>
            </w:pPr>
            <w:r>
              <w:rPr>
                <w:szCs w:val="24"/>
              </w:rPr>
              <w:t>A</w:t>
            </w:r>
            <w:r w:rsidRPr="004C4C82">
              <w:rPr>
                <w:szCs w:val="24"/>
              </w:rPr>
              <w:t>mounts receivable and payable under these securities f</w:t>
            </w:r>
            <w:r w:rsidR="005C0206">
              <w:rPr>
                <w:szCs w:val="24"/>
              </w:rPr>
              <w:t>i</w:t>
            </w:r>
            <w:r w:rsidRPr="004C4C82">
              <w:rPr>
                <w:szCs w:val="24"/>
              </w:rPr>
              <w:t>nancing transactions should generally be reported on a gross basis, meaning that the gross amount of such receivables and payables should be reported on the RSF side and ASF side, respectively. The only exception is that securities f</w:t>
            </w:r>
            <w:r w:rsidR="005C0206">
              <w:rPr>
                <w:szCs w:val="24"/>
              </w:rPr>
              <w:t>i</w:t>
            </w:r>
            <w:r w:rsidRPr="004C4C82">
              <w:rPr>
                <w:szCs w:val="24"/>
              </w:rPr>
              <w:t>nancing transactions with a single counterparty may be measured on a net basis when calculating the NSFR, provided that the netting conditions for securities f</w:t>
            </w:r>
            <w:r w:rsidR="005C0206">
              <w:rPr>
                <w:szCs w:val="24"/>
              </w:rPr>
              <w:t>i</w:t>
            </w:r>
            <w:r w:rsidRPr="004C4C82">
              <w:rPr>
                <w:szCs w:val="24"/>
              </w:rPr>
              <w:t xml:space="preserve">nancing transactions set out in </w:t>
            </w:r>
            <w:r w:rsidR="005C0206">
              <w:rPr>
                <w:szCs w:val="24"/>
              </w:rPr>
              <w:t>item</w:t>
            </w:r>
            <w:r w:rsidR="00154E4A">
              <w:rPr>
                <w:szCs w:val="24"/>
              </w:rPr>
              <w:t xml:space="preserve"> C.2 of Form SR-2D (leverage ratio) (as detailed in the </w:t>
            </w:r>
            <w:hyperlink r:id="rId18" w:history="1">
              <w:r w:rsidR="00154E4A" w:rsidRPr="000E4FFC">
                <w:rPr>
                  <w:rStyle w:val="Hyperlink"/>
                  <w:rFonts w:ascii="Calibri" w:hAnsi="Calibri" w:cs="Calibri"/>
                  <w:szCs w:val="24"/>
                </w:rPr>
                <w:t>Guidance Note for Deposit Takers, Quarterly Prudential Returns</w:t>
              </w:r>
            </w:hyperlink>
            <w:r w:rsidR="00154E4A" w:rsidRPr="00492C7A">
              <w:rPr>
                <w:rFonts w:ascii="Calibri" w:hAnsi="Calibri" w:cs="Calibri"/>
                <w:szCs w:val="24"/>
              </w:rPr>
              <w:t xml:space="preserve"> issued October 2017</w:t>
            </w:r>
            <w:r w:rsidR="00154E4A">
              <w:rPr>
                <w:rFonts w:ascii="Calibri" w:hAnsi="Calibri" w:cs="Calibri"/>
                <w:szCs w:val="24"/>
              </w:rPr>
              <w:t>)</w:t>
            </w:r>
            <w:r w:rsidR="00154E4A" w:rsidRPr="008B13F4">
              <w:rPr>
                <w:rStyle w:val="CommentReference"/>
                <w:sz w:val="24"/>
                <w:szCs w:val="24"/>
              </w:rPr>
              <w:t xml:space="preserve"> </w:t>
            </w:r>
            <w:r w:rsidR="005C0206">
              <w:rPr>
                <w:szCs w:val="24"/>
              </w:rPr>
              <w:t>are met.</w:t>
            </w:r>
          </w:p>
          <w:p w14:paraId="63AAD859" w14:textId="081AFA55" w:rsidR="00222FC2" w:rsidRPr="0034020D" w:rsidRDefault="00222FC2" w:rsidP="005C0206">
            <w:pPr>
              <w:contextualSpacing/>
              <w:jc w:val="both"/>
              <w:rPr>
                <w:szCs w:val="24"/>
              </w:rPr>
            </w:pPr>
          </w:p>
        </w:tc>
      </w:tr>
      <w:tr w:rsidR="00721585" w14:paraId="2E842F2B" w14:textId="77777777" w:rsidTr="00721585">
        <w:trPr>
          <w:trHeight w:val="352"/>
        </w:trPr>
        <w:tc>
          <w:tcPr>
            <w:tcW w:w="8945" w:type="dxa"/>
            <w:gridSpan w:val="2"/>
            <w:shd w:val="clear" w:color="auto" w:fill="005782"/>
          </w:tcPr>
          <w:p w14:paraId="6BD03B6A" w14:textId="0EE2BFCC" w:rsidR="00721585" w:rsidRPr="00721585" w:rsidRDefault="00721585" w:rsidP="00721585">
            <w:pPr>
              <w:contextualSpacing/>
              <w:jc w:val="center"/>
              <w:rPr>
                <w:rFonts w:ascii="Calibri" w:hAnsi="Calibri" w:cs="Calibri"/>
                <w:color w:val="FFFFFF" w:themeColor="background1"/>
                <w:szCs w:val="24"/>
              </w:rPr>
            </w:pPr>
            <w:r w:rsidRPr="00721585">
              <w:rPr>
                <w:rFonts w:ascii="Calibri" w:hAnsi="Calibri" w:cs="Calibri"/>
                <w:color w:val="FFFFFF" w:themeColor="background1"/>
                <w:szCs w:val="24"/>
              </w:rPr>
              <w:lastRenderedPageBreak/>
              <w:t>Balance Sheet Items</w:t>
            </w:r>
            <w:r>
              <w:rPr>
                <w:rFonts w:ascii="Calibri" w:hAnsi="Calibri" w:cs="Calibri"/>
                <w:color w:val="FFFFFF" w:themeColor="background1"/>
                <w:szCs w:val="24"/>
              </w:rPr>
              <w:t xml:space="preserve"> (Items RSF</w:t>
            </w:r>
            <w:r w:rsidR="00E46E6E">
              <w:rPr>
                <w:rFonts w:ascii="Calibri" w:hAnsi="Calibri" w:cs="Calibri"/>
                <w:color w:val="FFFFFF" w:themeColor="background1"/>
                <w:szCs w:val="24"/>
              </w:rPr>
              <w:t>.1 to RSF.21</w:t>
            </w:r>
            <w:r>
              <w:rPr>
                <w:rFonts w:ascii="Calibri" w:hAnsi="Calibri" w:cs="Calibri"/>
                <w:color w:val="FFFFFF" w:themeColor="background1"/>
                <w:szCs w:val="24"/>
              </w:rPr>
              <w:t>)</w:t>
            </w:r>
          </w:p>
        </w:tc>
      </w:tr>
      <w:tr w:rsidR="00222FC2" w14:paraId="06AF5551" w14:textId="77777777" w:rsidTr="004F18B6">
        <w:trPr>
          <w:trHeight w:val="352"/>
        </w:trPr>
        <w:tc>
          <w:tcPr>
            <w:tcW w:w="988" w:type="dxa"/>
          </w:tcPr>
          <w:p w14:paraId="2012608F" w14:textId="124F1C26" w:rsidR="00222FC2" w:rsidRPr="00E6642B" w:rsidRDefault="00721585" w:rsidP="00222FC2">
            <w:r>
              <w:t>RSF.1</w:t>
            </w:r>
          </w:p>
        </w:tc>
        <w:tc>
          <w:tcPr>
            <w:tcW w:w="7957" w:type="dxa"/>
          </w:tcPr>
          <w:p w14:paraId="04E5997F" w14:textId="3423E789" w:rsidR="00183DC9" w:rsidRPr="00183DC9" w:rsidRDefault="00AB5A55" w:rsidP="00222FC2">
            <w:pPr>
              <w:contextualSpacing/>
              <w:rPr>
                <w:rFonts w:ascii="Calibri" w:hAnsi="Calibri" w:cs="Calibri"/>
                <w:b/>
                <w:bCs/>
                <w:szCs w:val="24"/>
              </w:rPr>
            </w:pPr>
            <w:r w:rsidRPr="00183DC9">
              <w:rPr>
                <w:rFonts w:ascii="Calibri" w:hAnsi="Calibri" w:cs="Calibri"/>
                <w:b/>
                <w:bCs/>
                <w:szCs w:val="24"/>
              </w:rPr>
              <w:t xml:space="preserve">Cash and central bank </w:t>
            </w:r>
            <w:r w:rsidR="009B5091">
              <w:rPr>
                <w:rFonts w:ascii="Calibri" w:hAnsi="Calibri" w:cs="Calibri"/>
                <w:b/>
                <w:bCs/>
                <w:szCs w:val="24"/>
              </w:rPr>
              <w:t xml:space="preserve">reserves / claims </w:t>
            </w:r>
            <w:r w:rsidR="00183DC9">
              <w:rPr>
                <w:rFonts w:ascii="Calibri" w:hAnsi="Calibri" w:cs="Calibri"/>
                <w:b/>
                <w:bCs/>
                <w:szCs w:val="24"/>
              </w:rPr>
              <w:t>(0% RSF factor)</w:t>
            </w:r>
          </w:p>
          <w:p w14:paraId="48EB8CAF" w14:textId="1E026C1F" w:rsidR="00222FC2" w:rsidRDefault="001D35E7" w:rsidP="0077237A">
            <w:pPr>
              <w:contextualSpacing/>
              <w:jc w:val="both"/>
              <w:rPr>
                <w:rFonts w:ascii="Calibri" w:hAnsi="Calibri" w:cs="Calibri"/>
                <w:szCs w:val="24"/>
              </w:rPr>
            </w:pPr>
            <w:r>
              <w:rPr>
                <w:rFonts w:ascii="Calibri" w:hAnsi="Calibri" w:cs="Calibri"/>
                <w:szCs w:val="24"/>
              </w:rPr>
              <w:t xml:space="preserve">Report </w:t>
            </w:r>
            <w:r w:rsidR="00183DC9">
              <w:rPr>
                <w:rFonts w:ascii="Calibri" w:hAnsi="Calibri" w:cs="Calibri"/>
                <w:szCs w:val="24"/>
              </w:rPr>
              <w:t>c</w:t>
            </w:r>
            <w:r w:rsidR="00AB5A55" w:rsidRPr="00AB5A55">
              <w:rPr>
                <w:rFonts w:ascii="Calibri" w:hAnsi="Calibri" w:cs="Calibri"/>
                <w:szCs w:val="24"/>
              </w:rPr>
              <w:t xml:space="preserve">oins, banknotes, central bank reserves and all claims on central banks with a residual maturity of less than six months. </w:t>
            </w:r>
          </w:p>
          <w:p w14:paraId="614B6464" w14:textId="77777777" w:rsidR="00183DC9" w:rsidRPr="00183DC9" w:rsidRDefault="00183DC9" w:rsidP="00183DC9">
            <w:pPr>
              <w:contextualSpacing/>
              <w:rPr>
                <w:rFonts w:ascii="Calibri" w:hAnsi="Calibri" w:cs="Calibri"/>
                <w:szCs w:val="24"/>
                <w:highlight w:val="cyan"/>
              </w:rPr>
            </w:pPr>
          </w:p>
          <w:p w14:paraId="24574957" w14:textId="77777777" w:rsidR="00183DC9" w:rsidRPr="008F6C3C" w:rsidRDefault="00183DC9" w:rsidP="0077237A">
            <w:pPr>
              <w:contextualSpacing/>
              <w:jc w:val="both"/>
              <w:rPr>
                <w:rFonts w:ascii="Calibri" w:hAnsi="Calibri" w:cs="Calibri"/>
                <w:szCs w:val="24"/>
              </w:rPr>
            </w:pPr>
            <w:r w:rsidRPr="0077237A">
              <w:rPr>
                <w:rFonts w:ascii="Calibri" w:hAnsi="Calibri" w:cs="Calibri"/>
                <w:szCs w:val="24"/>
                <w:lang w:val="en-US"/>
              </w:rPr>
              <w:t xml:space="preserve">The term “claims” is broader than loans. The term “claims”, for example, also includes central bank bills and the asset account created on banks’ balance sheets by </w:t>
            </w:r>
            <w:proofErr w:type="gramStart"/>
            <w:r w:rsidRPr="0077237A">
              <w:rPr>
                <w:rFonts w:ascii="Calibri" w:hAnsi="Calibri" w:cs="Calibri"/>
                <w:szCs w:val="24"/>
                <w:lang w:val="en-US"/>
              </w:rPr>
              <w:t>entering into</w:t>
            </w:r>
            <w:proofErr w:type="gramEnd"/>
            <w:r w:rsidRPr="0077237A">
              <w:rPr>
                <w:rFonts w:ascii="Calibri" w:hAnsi="Calibri" w:cs="Calibri"/>
                <w:szCs w:val="24"/>
                <w:lang w:val="en-US"/>
              </w:rPr>
              <w:t xml:space="preserve"> repo transactions with central banks.</w:t>
            </w:r>
          </w:p>
          <w:p w14:paraId="0FF009A9" w14:textId="1CCECA82" w:rsidR="00183DC9" w:rsidRPr="00E13C44" w:rsidRDefault="00183DC9" w:rsidP="00222FC2">
            <w:pPr>
              <w:contextualSpacing/>
              <w:rPr>
                <w:rFonts w:ascii="Calibri" w:hAnsi="Calibri" w:cs="Calibri"/>
                <w:szCs w:val="24"/>
              </w:rPr>
            </w:pPr>
          </w:p>
        </w:tc>
      </w:tr>
      <w:tr w:rsidR="00222FC2" w14:paraId="7DCC2C34" w14:textId="77777777" w:rsidTr="004F18B6">
        <w:trPr>
          <w:trHeight w:val="352"/>
        </w:trPr>
        <w:tc>
          <w:tcPr>
            <w:tcW w:w="988" w:type="dxa"/>
          </w:tcPr>
          <w:p w14:paraId="0F68AB64" w14:textId="4D30793C" w:rsidR="00222FC2" w:rsidRPr="00E6642B" w:rsidRDefault="00721585" w:rsidP="00222FC2">
            <w:r>
              <w:t>RSF.2</w:t>
            </w:r>
          </w:p>
        </w:tc>
        <w:tc>
          <w:tcPr>
            <w:tcW w:w="7957" w:type="dxa"/>
          </w:tcPr>
          <w:p w14:paraId="1A16E711" w14:textId="16450429" w:rsidR="00D97CB5" w:rsidRDefault="00D97CB5" w:rsidP="00D97CB5">
            <w:pPr>
              <w:contextualSpacing/>
              <w:rPr>
                <w:rFonts w:ascii="Calibri" w:hAnsi="Calibri" w:cs="Calibri"/>
                <w:b/>
                <w:bCs/>
                <w:szCs w:val="24"/>
                <w:lang w:val="en-US"/>
              </w:rPr>
            </w:pPr>
            <w:r w:rsidRPr="0034165F">
              <w:rPr>
                <w:rFonts w:ascii="Calibri" w:hAnsi="Calibri" w:cs="Calibri"/>
                <w:b/>
                <w:bCs/>
                <w:szCs w:val="24"/>
                <w:lang w:val="en-US"/>
              </w:rPr>
              <w:t>"</w:t>
            </w:r>
            <w:r>
              <w:rPr>
                <w:rFonts w:ascii="Calibri" w:hAnsi="Calibri" w:cs="Calibri"/>
                <w:b/>
                <w:bCs/>
                <w:szCs w:val="24"/>
                <w:lang w:val="en-US"/>
              </w:rPr>
              <w:t>T</w:t>
            </w:r>
            <w:r w:rsidRPr="0034165F">
              <w:rPr>
                <w:rFonts w:ascii="Calibri" w:hAnsi="Calibri" w:cs="Calibri"/>
                <w:b/>
                <w:bCs/>
                <w:szCs w:val="24"/>
                <w:lang w:val="en-US"/>
              </w:rPr>
              <w:t>rade date" receivables</w:t>
            </w:r>
            <w:r w:rsidR="0077237A">
              <w:rPr>
                <w:rFonts w:ascii="Calibri" w:hAnsi="Calibri" w:cs="Calibri"/>
                <w:b/>
                <w:bCs/>
                <w:szCs w:val="24"/>
                <w:lang w:val="en-US"/>
              </w:rPr>
              <w:t xml:space="preserve"> (0% RSF factor)</w:t>
            </w:r>
          </w:p>
          <w:p w14:paraId="7225681A" w14:textId="198DFDCE" w:rsidR="00D97CB5" w:rsidRDefault="001D35E7" w:rsidP="00B9790C">
            <w:pPr>
              <w:contextualSpacing/>
              <w:jc w:val="both"/>
              <w:rPr>
                <w:rFonts w:ascii="Calibri" w:hAnsi="Calibri" w:cs="Calibri"/>
                <w:szCs w:val="24"/>
                <w:lang w:val="en-US"/>
              </w:rPr>
            </w:pPr>
            <w:r>
              <w:rPr>
                <w:rFonts w:ascii="Calibri" w:hAnsi="Calibri" w:cs="Calibri"/>
                <w:szCs w:val="24"/>
                <w:lang w:val="en-US"/>
              </w:rPr>
              <w:t>Report t</w:t>
            </w:r>
            <w:r w:rsidR="00D97CB5" w:rsidRPr="0034165F">
              <w:rPr>
                <w:rFonts w:ascii="Calibri" w:hAnsi="Calibri" w:cs="Calibri"/>
                <w:szCs w:val="24"/>
                <w:lang w:val="en-US"/>
              </w:rPr>
              <w:t xml:space="preserve">rade </w:t>
            </w:r>
            <w:proofErr w:type="gramStart"/>
            <w:r w:rsidR="00D97CB5" w:rsidRPr="0034165F">
              <w:rPr>
                <w:rFonts w:ascii="Calibri" w:hAnsi="Calibri" w:cs="Calibri"/>
                <w:szCs w:val="24"/>
                <w:lang w:val="en-US"/>
              </w:rPr>
              <w:t>date receivables</w:t>
            </w:r>
            <w:proofErr w:type="gramEnd"/>
            <w:r w:rsidR="00D97CB5" w:rsidRPr="0034165F">
              <w:rPr>
                <w:rFonts w:ascii="Calibri" w:hAnsi="Calibri" w:cs="Calibri"/>
                <w:szCs w:val="24"/>
                <w:lang w:val="en-US"/>
              </w:rPr>
              <w:t xml:space="preserve"> arising from sales of financial instruments, foreign currencies and commodities that</w:t>
            </w:r>
            <w:r w:rsidR="00D97CB5">
              <w:rPr>
                <w:rFonts w:ascii="Calibri" w:hAnsi="Calibri" w:cs="Calibri"/>
                <w:szCs w:val="24"/>
                <w:lang w:val="en-US"/>
              </w:rPr>
              <w:t>:</w:t>
            </w:r>
          </w:p>
          <w:p w14:paraId="2017A7A8" w14:textId="77777777" w:rsidR="00D97CB5" w:rsidRDefault="00D97CB5" w:rsidP="00B9790C">
            <w:pPr>
              <w:contextualSpacing/>
              <w:jc w:val="both"/>
              <w:rPr>
                <w:rFonts w:ascii="Calibri" w:hAnsi="Calibri" w:cs="Calibri"/>
                <w:szCs w:val="24"/>
                <w:lang w:val="en-US"/>
              </w:rPr>
            </w:pPr>
          </w:p>
          <w:p w14:paraId="46879566" w14:textId="77777777" w:rsidR="00D97CB5" w:rsidRDefault="00D97CB5" w:rsidP="00B9790C">
            <w:pPr>
              <w:pStyle w:val="ListParagraph"/>
              <w:numPr>
                <w:ilvl w:val="0"/>
                <w:numId w:val="109"/>
              </w:numPr>
              <w:jc w:val="both"/>
              <w:rPr>
                <w:rFonts w:ascii="Calibri" w:hAnsi="Calibri" w:cs="Calibri"/>
                <w:szCs w:val="24"/>
                <w:lang w:val="en-US"/>
              </w:rPr>
            </w:pPr>
            <w:r w:rsidRPr="0034165F">
              <w:rPr>
                <w:rFonts w:ascii="Calibri" w:hAnsi="Calibri" w:cs="Calibri"/>
                <w:szCs w:val="24"/>
                <w:lang w:val="en-US"/>
              </w:rPr>
              <w:t>are expected to settle within the standard settlement cycle or period that is customary for the relevant exchange or type of transaction</w:t>
            </w:r>
            <w:r>
              <w:rPr>
                <w:rFonts w:ascii="Calibri" w:hAnsi="Calibri" w:cs="Calibri"/>
                <w:szCs w:val="24"/>
                <w:lang w:val="en-US"/>
              </w:rPr>
              <w:t>:</w:t>
            </w:r>
            <w:r w:rsidRPr="0034165F">
              <w:rPr>
                <w:rFonts w:ascii="Calibri" w:hAnsi="Calibri" w:cs="Calibri"/>
                <w:szCs w:val="24"/>
                <w:lang w:val="en-US"/>
              </w:rPr>
              <w:t xml:space="preserve"> or</w:t>
            </w:r>
          </w:p>
          <w:p w14:paraId="5A7B3AD3" w14:textId="77777777" w:rsidR="00D97CB5" w:rsidRPr="0034165F" w:rsidRDefault="00D97CB5" w:rsidP="00B9790C">
            <w:pPr>
              <w:pStyle w:val="ListParagraph"/>
              <w:numPr>
                <w:ilvl w:val="0"/>
                <w:numId w:val="109"/>
              </w:numPr>
              <w:jc w:val="both"/>
              <w:rPr>
                <w:rFonts w:ascii="Calibri" w:hAnsi="Calibri" w:cs="Calibri"/>
                <w:szCs w:val="24"/>
                <w:lang w:val="en-US"/>
              </w:rPr>
            </w:pPr>
            <w:r w:rsidRPr="0034165F">
              <w:rPr>
                <w:rFonts w:ascii="Calibri" w:hAnsi="Calibri" w:cs="Calibri"/>
                <w:szCs w:val="24"/>
                <w:lang w:val="en-US"/>
              </w:rPr>
              <w:t>have failed to, but are still expected to, settle.</w:t>
            </w:r>
          </w:p>
          <w:p w14:paraId="698DBE58" w14:textId="77777777" w:rsidR="00222FC2" w:rsidRDefault="00222FC2" w:rsidP="0077237A">
            <w:pPr>
              <w:contextualSpacing/>
            </w:pPr>
          </w:p>
        </w:tc>
      </w:tr>
      <w:tr w:rsidR="00222FC2" w14:paraId="326FE0DB" w14:textId="77777777" w:rsidTr="004F18B6">
        <w:trPr>
          <w:trHeight w:val="352"/>
        </w:trPr>
        <w:tc>
          <w:tcPr>
            <w:tcW w:w="988" w:type="dxa"/>
          </w:tcPr>
          <w:p w14:paraId="1CC8B8DC" w14:textId="3BF6E191" w:rsidR="00222FC2" w:rsidRPr="00E6642B" w:rsidRDefault="00721585" w:rsidP="000A1656">
            <w:r>
              <w:t>RSF.3</w:t>
            </w:r>
          </w:p>
        </w:tc>
        <w:tc>
          <w:tcPr>
            <w:tcW w:w="7957" w:type="dxa"/>
          </w:tcPr>
          <w:p w14:paraId="42FEF22A" w14:textId="4C08B631" w:rsidR="003D33F8" w:rsidRDefault="003D33F8" w:rsidP="000A1656">
            <w:pPr>
              <w:contextualSpacing/>
              <w:rPr>
                <w:rFonts w:ascii="Calibri" w:hAnsi="Calibri" w:cs="Calibri"/>
                <w:b/>
                <w:bCs/>
                <w:szCs w:val="24"/>
              </w:rPr>
            </w:pPr>
            <w:r>
              <w:rPr>
                <w:rFonts w:ascii="Calibri" w:hAnsi="Calibri" w:cs="Calibri"/>
                <w:b/>
                <w:bCs/>
                <w:szCs w:val="24"/>
              </w:rPr>
              <w:t>Unencumbered Level 1 HQLA (5% RSF factor)</w:t>
            </w:r>
          </w:p>
          <w:p w14:paraId="48BBBCFF" w14:textId="51D0BAED" w:rsidR="000A1656" w:rsidRDefault="00AC0B6C" w:rsidP="00135653">
            <w:pPr>
              <w:contextualSpacing/>
              <w:jc w:val="both"/>
            </w:pPr>
            <w:r>
              <w:t>Report</w:t>
            </w:r>
            <w:r w:rsidR="00B9790C">
              <w:t xml:space="preserve"> </w:t>
            </w:r>
            <w:r>
              <w:t xml:space="preserve">unencumbered level 1 HQLA assets as defined </w:t>
            </w:r>
            <w:r w:rsidR="00261E8F">
              <w:t>for</w:t>
            </w:r>
            <w:r>
              <w:t xml:space="preserve"> LCR </w:t>
            </w:r>
            <w:r w:rsidR="00261E8F">
              <w:t xml:space="preserve">purposes </w:t>
            </w:r>
            <w:r>
              <w:t>(but excluding any assets covered under RSF.1 above).  Include:</w:t>
            </w:r>
          </w:p>
          <w:p w14:paraId="0B8BF6FE" w14:textId="77777777" w:rsidR="000A1656" w:rsidRDefault="000A1656" w:rsidP="000A1656">
            <w:pPr>
              <w:contextualSpacing/>
            </w:pPr>
          </w:p>
          <w:p w14:paraId="4AB0F0DF" w14:textId="13C74953" w:rsidR="00B9790C" w:rsidRPr="000A1656" w:rsidRDefault="000A1656" w:rsidP="000A1656">
            <w:pPr>
              <w:pStyle w:val="ListParagraph"/>
              <w:numPr>
                <w:ilvl w:val="0"/>
                <w:numId w:val="110"/>
              </w:numPr>
              <w:jc w:val="both"/>
            </w:pPr>
            <w:r w:rsidRPr="000A1656">
              <w:rPr>
                <w:rFonts w:ascii="Calibri" w:hAnsi="Calibri" w:cs="Calibri"/>
                <w:szCs w:val="24"/>
                <w:u w:val="single"/>
              </w:rPr>
              <w:t>marketable securities</w:t>
            </w:r>
            <w:r w:rsidRPr="000A1656">
              <w:rPr>
                <w:rFonts w:ascii="Calibri" w:hAnsi="Calibri" w:cs="Calibri"/>
                <w:szCs w:val="24"/>
              </w:rPr>
              <w:t xml:space="preserve"> which represent claims on</w:t>
            </w:r>
            <w:r w:rsidR="00B9790C" w:rsidRPr="000A1656">
              <w:rPr>
                <w:rFonts w:ascii="Calibri" w:hAnsi="Calibri" w:cs="Calibri"/>
                <w:szCs w:val="24"/>
                <w:lang w:val="en-US"/>
              </w:rPr>
              <w:t xml:space="preserve">, or guaranteed by, sovereigns, central banks, PSEs, the Bank for International Settlements, the International Monetary Fund, the European Central Bank and the European Community, </w:t>
            </w:r>
            <w:r w:rsidR="00932730" w:rsidRPr="00932730">
              <w:rPr>
                <w:rFonts w:ascii="Calibri" w:hAnsi="Calibri" w:cs="Calibri"/>
                <w:szCs w:val="24"/>
              </w:rPr>
              <w:t>European Stability Mechanism, the European Financial Stability Facility</w:t>
            </w:r>
            <w:r w:rsidR="00932730" w:rsidRPr="000A1656">
              <w:rPr>
                <w:rFonts w:ascii="Calibri" w:hAnsi="Calibri" w:cs="Calibri"/>
                <w:szCs w:val="24"/>
                <w:lang w:val="en-US"/>
              </w:rPr>
              <w:t xml:space="preserve"> </w:t>
            </w:r>
            <w:r w:rsidR="00B9790C" w:rsidRPr="000A1656">
              <w:rPr>
                <w:rFonts w:ascii="Calibri" w:hAnsi="Calibri" w:cs="Calibri"/>
                <w:szCs w:val="24"/>
                <w:lang w:val="en-US"/>
              </w:rPr>
              <w:t>or eligible MDBs</w:t>
            </w:r>
            <w:r>
              <w:rPr>
                <w:rFonts w:ascii="Calibri" w:hAnsi="Calibri" w:cs="Calibri"/>
                <w:szCs w:val="24"/>
                <w:lang w:val="en-US"/>
              </w:rPr>
              <w:t xml:space="preserve"> that are assigned a 0% risk weight under the </w:t>
            </w:r>
            <w:proofErr w:type="spellStart"/>
            <w:r>
              <w:rPr>
                <w:rFonts w:ascii="Calibri" w:hAnsi="Calibri" w:cs="Calibri"/>
                <w:szCs w:val="24"/>
                <w:lang w:val="en-US"/>
              </w:rPr>
              <w:t>standardised</w:t>
            </w:r>
            <w:proofErr w:type="spellEnd"/>
            <w:r>
              <w:rPr>
                <w:rFonts w:ascii="Calibri" w:hAnsi="Calibri" w:cs="Calibri"/>
                <w:szCs w:val="24"/>
                <w:lang w:val="en-US"/>
              </w:rPr>
              <w:t xml:space="preserve"> approach to credit </w:t>
            </w:r>
            <w:proofErr w:type="gramStart"/>
            <w:r>
              <w:rPr>
                <w:rFonts w:ascii="Calibri" w:hAnsi="Calibri" w:cs="Calibri"/>
                <w:szCs w:val="24"/>
                <w:lang w:val="en-US"/>
              </w:rPr>
              <w:t>risk</w:t>
            </w:r>
            <w:r w:rsidR="00B9790C" w:rsidRPr="000A1656">
              <w:rPr>
                <w:rFonts w:ascii="Calibri" w:hAnsi="Calibri" w:cs="Calibri"/>
                <w:szCs w:val="24"/>
                <w:lang w:val="en-US"/>
              </w:rPr>
              <w:t>;</w:t>
            </w:r>
            <w:proofErr w:type="gramEnd"/>
          </w:p>
          <w:p w14:paraId="4A08CEFF" w14:textId="5B429501" w:rsidR="000A1656" w:rsidRPr="000A1656" w:rsidRDefault="00AC0B6C" w:rsidP="000A1656">
            <w:pPr>
              <w:pStyle w:val="ListParagraph"/>
              <w:numPr>
                <w:ilvl w:val="0"/>
                <w:numId w:val="110"/>
              </w:numPr>
              <w:jc w:val="both"/>
            </w:pPr>
            <w:r w:rsidRPr="00BB5736">
              <w:rPr>
                <w:u w:val="single"/>
              </w:rPr>
              <w:t>non 0% risk weighted sovereign or central bank debt securities</w:t>
            </w:r>
            <w:r>
              <w:t xml:space="preserve"> (excluding claims on central banks with maturities less than 6 months, covered in RSF.1 above).  Note that the total amount for securities issued in foreign currency can be included here, irrespective of any exclusion in the LCR HQLA calculations.</w:t>
            </w:r>
          </w:p>
          <w:p w14:paraId="443BF19D" w14:textId="77777777" w:rsidR="00B9790C" w:rsidRDefault="00B9790C" w:rsidP="000A1656">
            <w:pPr>
              <w:jc w:val="both"/>
            </w:pPr>
          </w:p>
          <w:p w14:paraId="3AC4FECD" w14:textId="6756C00E" w:rsidR="00932730" w:rsidRPr="00AC0B6C" w:rsidRDefault="000A1656" w:rsidP="00AC0B6C">
            <w:pPr>
              <w:contextualSpacing/>
              <w:rPr>
                <w:rFonts w:ascii="Calibri" w:hAnsi="Calibri" w:cs="Calibri"/>
                <w:szCs w:val="24"/>
                <w:lang w:val="en-US"/>
              </w:rPr>
            </w:pPr>
            <w:r w:rsidRPr="000A1656">
              <w:rPr>
                <w:rFonts w:ascii="Calibri" w:hAnsi="Calibri" w:cs="Calibri"/>
                <w:b/>
                <w:bCs/>
                <w:szCs w:val="24"/>
                <w:lang w:val="en-US"/>
              </w:rPr>
              <w:t>Annex B</w:t>
            </w:r>
            <w:r>
              <w:rPr>
                <w:rFonts w:ascii="Calibri" w:hAnsi="Calibri" w:cs="Calibri"/>
                <w:szCs w:val="24"/>
                <w:lang w:val="en-US"/>
              </w:rPr>
              <w:t xml:space="preserve"> </w:t>
            </w:r>
            <w:r w:rsidRPr="009E0EBB">
              <w:rPr>
                <w:rFonts w:ascii="Calibri" w:hAnsi="Calibri" w:cs="Calibri"/>
                <w:szCs w:val="24"/>
                <w:lang w:val="en-US"/>
              </w:rPr>
              <w:t>contains a list of eligible MDBs.</w:t>
            </w:r>
            <w:r w:rsidR="00AE68A4">
              <w:rPr>
                <w:rFonts w:ascii="Calibri" w:hAnsi="Calibri" w:cs="Calibri"/>
                <w:szCs w:val="24"/>
                <w:lang w:val="en-US"/>
              </w:rPr>
              <w:t xml:space="preserve"> </w:t>
            </w:r>
          </w:p>
        </w:tc>
      </w:tr>
      <w:tr w:rsidR="00222FC2" w14:paraId="21FAA5EC" w14:textId="77777777" w:rsidTr="004F18B6">
        <w:trPr>
          <w:trHeight w:val="352"/>
        </w:trPr>
        <w:tc>
          <w:tcPr>
            <w:tcW w:w="988" w:type="dxa"/>
          </w:tcPr>
          <w:p w14:paraId="0911F7FF" w14:textId="74A5DF48" w:rsidR="00222FC2" w:rsidRPr="00E6642B" w:rsidRDefault="00721585" w:rsidP="00222FC2">
            <w:r>
              <w:t>RSF.4</w:t>
            </w:r>
          </w:p>
        </w:tc>
        <w:tc>
          <w:tcPr>
            <w:tcW w:w="7957" w:type="dxa"/>
          </w:tcPr>
          <w:p w14:paraId="72D91F70" w14:textId="3CB659C4" w:rsidR="00AE68A4" w:rsidRDefault="00AE68A4" w:rsidP="00AE68A4">
            <w:pPr>
              <w:contextualSpacing/>
              <w:rPr>
                <w:rFonts w:ascii="Calibri" w:hAnsi="Calibri" w:cs="Calibri"/>
                <w:b/>
                <w:bCs/>
                <w:szCs w:val="24"/>
              </w:rPr>
            </w:pPr>
            <w:r>
              <w:rPr>
                <w:rFonts w:ascii="Calibri" w:hAnsi="Calibri" w:cs="Calibri"/>
                <w:b/>
                <w:bCs/>
                <w:szCs w:val="24"/>
              </w:rPr>
              <w:t>Unencumbered loans to financial institutions, secured by Level 1 HQLA, &lt;6 months residual maturity (10% RSF factor)</w:t>
            </w:r>
          </w:p>
          <w:p w14:paraId="7E02A03B" w14:textId="135ED13A" w:rsidR="00AE68A4" w:rsidRDefault="00932730" w:rsidP="00E553C4">
            <w:pPr>
              <w:contextualSpacing/>
              <w:jc w:val="both"/>
              <w:rPr>
                <w:rFonts w:ascii="Calibri" w:hAnsi="Calibri" w:cs="Calibri"/>
                <w:szCs w:val="24"/>
              </w:rPr>
            </w:pPr>
            <w:r>
              <w:rPr>
                <w:rFonts w:ascii="Calibri" w:hAnsi="Calibri" w:cs="Calibri"/>
                <w:szCs w:val="24"/>
                <w:lang w:val="en-US"/>
              </w:rPr>
              <w:lastRenderedPageBreak/>
              <w:t>Report u</w:t>
            </w:r>
            <w:r w:rsidR="00AE68A4" w:rsidRPr="0056426B">
              <w:rPr>
                <w:rFonts w:ascii="Calibri" w:hAnsi="Calibri" w:cs="Calibri"/>
                <w:szCs w:val="24"/>
                <w:lang w:val="en-US"/>
              </w:rPr>
              <w:t xml:space="preserve">nencumbered loans to </w:t>
            </w:r>
            <w:r w:rsidR="00AE68A4" w:rsidRPr="00BB5736">
              <w:rPr>
                <w:rFonts w:ascii="Calibri" w:hAnsi="Calibri" w:cs="Calibri"/>
                <w:szCs w:val="24"/>
                <w:lang w:val="en-US"/>
              </w:rPr>
              <w:t>financial institutions</w:t>
            </w:r>
            <w:r w:rsidR="00AE68A4" w:rsidRPr="0056426B">
              <w:rPr>
                <w:rFonts w:ascii="Calibri" w:hAnsi="Calibri" w:cs="Calibri"/>
                <w:szCs w:val="24"/>
                <w:lang w:val="en-US"/>
              </w:rPr>
              <w:t xml:space="preserve"> with residual maturities of less than six months, where the loan is secured against Level 1 </w:t>
            </w:r>
            <w:r w:rsidR="00AE68A4">
              <w:rPr>
                <w:rFonts w:ascii="Calibri" w:hAnsi="Calibri" w:cs="Calibri"/>
                <w:szCs w:val="24"/>
                <w:lang w:val="en-US"/>
              </w:rPr>
              <w:t>HQLA</w:t>
            </w:r>
            <w:r w:rsidR="00AE68A4" w:rsidRPr="0056426B">
              <w:rPr>
                <w:rFonts w:ascii="Calibri" w:hAnsi="Calibri" w:cs="Calibri"/>
                <w:szCs w:val="24"/>
                <w:lang w:val="en-US"/>
              </w:rPr>
              <w:t xml:space="preserve"> </w:t>
            </w:r>
            <w:r w:rsidR="00E553C4">
              <w:rPr>
                <w:rFonts w:ascii="Calibri" w:hAnsi="Calibri" w:cs="Calibri"/>
                <w:szCs w:val="24"/>
                <w:lang w:val="en-US"/>
              </w:rPr>
              <w:t xml:space="preserve">(as defined </w:t>
            </w:r>
            <w:r w:rsidR="00261E8F">
              <w:rPr>
                <w:rFonts w:ascii="Calibri" w:hAnsi="Calibri" w:cs="Calibri"/>
                <w:szCs w:val="24"/>
                <w:lang w:val="en-US"/>
              </w:rPr>
              <w:t>for</w:t>
            </w:r>
            <w:r w:rsidR="00E553C4">
              <w:rPr>
                <w:rFonts w:ascii="Calibri" w:hAnsi="Calibri" w:cs="Calibri"/>
                <w:szCs w:val="24"/>
                <w:lang w:val="en-US"/>
              </w:rPr>
              <w:t xml:space="preserve"> LCR</w:t>
            </w:r>
            <w:r w:rsidR="00261E8F">
              <w:rPr>
                <w:rFonts w:ascii="Calibri" w:hAnsi="Calibri" w:cs="Calibri"/>
                <w:szCs w:val="24"/>
                <w:lang w:val="en-US"/>
              </w:rPr>
              <w:t xml:space="preserve"> purposes</w:t>
            </w:r>
            <w:r w:rsidR="00E553C4">
              <w:rPr>
                <w:rFonts w:ascii="Calibri" w:hAnsi="Calibri" w:cs="Calibri"/>
                <w:szCs w:val="24"/>
                <w:lang w:val="en-US"/>
              </w:rPr>
              <w:t xml:space="preserve">) </w:t>
            </w:r>
            <w:r w:rsidR="00AE68A4" w:rsidRPr="0056426B">
              <w:rPr>
                <w:rFonts w:ascii="Calibri" w:hAnsi="Calibri" w:cs="Calibri"/>
                <w:szCs w:val="24"/>
                <w:lang w:val="en-US"/>
              </w:rPr>
              <w:t xml:space="preserve">and where the bank </w:t>
            </w:r>
            <w:r w:rsidR="004B202F" w:rsidRPr="0056426B">
              <w:rPr>
                <w:rFonts w:ascii="Calibri" w:hAnsi="Calibri" w:cs="Calibri"/>
                <w:szCs w:val="24"/>
                <w:lang w:val="en-US"/>
              </w:rPr>
              <w:t>can</w:t>
            </w:r>
            <w:r w:rsidR="00AE68A4" w:rsidRPr="0056426B">
              <w:rPr>
                <w:rFonts w:ascii="Calibri" w:hAnsi="Calibri" w:cs="Calibri"/>
                <w:szCs w:val="24"/>
                <w:lang w:val="en-US"/>
              </w:rPr>
              <w:t xml:space="preserve"> freely rehypothecate the received collateral for the life of the loan.</w:t>
            </w:r>
          </w:p>
          <w:p w14:paraId="3B78BD15" w14:textId="77777777" w:rsidR="00222FC2" w:rsidRDefault="00222FC2" w:rsidP="00AE68A4">
            <w:pPr>
              <w:contextualSpacing/>
            </w:pPr>
          </w:p>
        </w:tc>
      </w:tr>
      <w:tr w:rsidR="00222FC2" w14:paraId="4222E905" w14:textId="77777777" w:rsidTr="004F18B6">
        <w:trPr>
          <w:trHeight w:val="352"/>
        </w:trPr>
        <w:tc>
          <w:tcPr>
            <w:tcW w:w="988" w:type="dxa"/>
          </w:tcPr>
          <w:p w14:paraId="27BC19AA" w14:textId="4EC68E94" w:rsidR="00222FC2" w:rsidRPr="00E6642B" w:rsidRDefault="00721585" w:rsidP="00222FC2">
            <w:r>
              <w:lastRenderedPageBreak/>
              <w:t>RSF.5</w:t>
            </w:r>
          </w:p>
        </w:tc>
        <w:tc>
          <w:tcPr>
            <w:tcW w:w="7957" w:type="dxa"/>
          </w:tcPr>
          <w:p w14:paraId="310B99A6" w14:textId="34ECE81C" w:rsidR="00222FC2" w:rsidRDefault="00E553C4" w:rsidP="00222FC2">
            <w:pPr>
              <w:contextualSpacing/>
              <w:rPr>
                <w:b/>
                <w:bCs/>
              </w:rPr>
            </w:pPr>
            <w:r w:rsidRPr="004B202F">
              <w:rPr>
                <w:b/>
                <w:bCs/>
              </w:rPr>
              <w:t>Unencumbered Level 2A HQLA</w:t>
            </w:r>
            <w:r w:rsidR="004B202F">
              <w:rPr>
                <w:b/>
                <w:bCs/>
              </w:rPr>
              <w:t xml:space="preserve"> (15% RSF factor)</w:t>
            </w:r>
          </w:p>
          <w:p w14:paraId="4A796401" w14:textId="0FFD4349" w:rsidR="007E48EB" w:rsidRDefault="007E48EB" w:rsidP="007E48EB">
            <w:pPr>
              <w:contextualSpacing/>
              <w:jc w:val="both"/>
            </w:pPr>
            <w:r>
              <w:t xml:space="preserve">Report unencumbered level 2A HQLA assets as defined </w:t>
            </w:r>
            <w:r w:rsidR="00261E8F">
              <w:t>for</w:t>
            </w:r>
            <w:r>
              <w:t xml:space="preserve"> LCR</w:t>
            </w:r>
            <w:r w:rsidR="00261E8F">
              <w:t xml:space="preserve"> purposes</w:t>
            </w:r>
            <w:r>
              <w:t>, as follows:</w:t>
            </w:r>
          </w:p>
          <w:p w14:paraId="2DFE5BE2" w14:textId="77777777" w:rsidR="007E48EB" w:rsidRDefault="007E48EB" w:rsidP="007E48EB">
            <w:pPr>
              <w:contextualSpacing/>
            </w:pPr>
          </w:p>
          <w:p w14:paraId="1217C346" w14:textId="2BE9D169" w:rsidR="007E48EB" w:rsidRDefault="007E48EB" w:rsidP="007E48EB">
            <w:pPr>
              <w:jc w:val="both"/>
              <w:rPr>
                <w:rFonts w:ascii="Calibri" w:hAnsi="Calibri" w:cs="Calibri"/>
                <w:szCs w:val="24"/>
                <w:lang w:val="en-US"/>
              </w:rPr>
            </w:pPr>
            <w:r w:rsidRPr="007E48EB">
              <w:rPr>
                <w:rFonts w:ascii="Calibri" w:hAnsi="Calibri" w:cs="Calibri"/>
                <w:b/>
                <w:bCs/>
                <w:i/>
                <w:iCs/>
                <w:szCs w:val="24"/>
              </w:rPr>
              <w:t>RSF.5.1</w:t>
            </w:r>
            <w:r>
              <w:rPr>
                <w:rFonts w:ascii="Calibri" w:hAnsi="Calibri" w:cs="Calibri"/>
                <w:b/>
                <w:bCs/>
                <w:i/>
                <w:iCs/>
                <w:szCs w:val="24"/>
              </w:rPr>
              <w:t>:</w:t>
            </w:r>
            <w:r w:rsidRPr="007E48EB">
              <w:rPr>
                <w:rFonts w:ascii="Calibri" w:hAnsi="Calibri" w:cs="Calibri"/>
                <w:szCs w:val="24"/>
              </w:rPr>
              <w:t xml:space="preserve"> include</w:t>
            </w:r>
            <w:r>
              <w:rPr>
                <w:rFonts w:ascii="Calibri" w:hAnsi="Calibri" w:cs="Calibri"/>
                <w:b/>
                <w:bCs/>
                <w:i/>
                <w:iCs/>
                <w:szCs w:val="24"/>
              </w:rPr>
              <w:t xml:space="preserve"> </w:t>
            </w:r>
            <w:r w:rsidRPr="007E48EB">
              <w:rPr>
                <w:rFonts w:ascii="Calibri" w:hAnsi="Calibri" w:cs="Calibri"/>
                <w:szCs w:val="24"/>
                <w:u w:val="single"/>
              </w:rPr>
              <w:t>marketable securities</w:t>
            </w:r>
            <w:r w:rsidRPr="007E48EB">
              <w:rPr>
                <w:rFonts w:ascii="Calibri" w:hAnsi="Calibri" w:cs="Calibri"/>
                <w:szCs w:val="24"/>
              </w:rPr>
              <w:t xml:space="preserve"> which represent claims on</w:t>
            </w:r>
            <w:r w:rsidRPr="007E48EB">
              <w:rPr>
                <w:rFonts w:ascii="Calibri" w:hAnsi="Calibri" w:cs="Calibri"/>
                <w:szCs w:val="24"/>
                <w:lang w:val="en-US"/>
              </w:rPr>
              <w:t xml:space="preserve">, or guaranteed by, sovereigns, central banks, PSEs, or MDBs that are assigned a 20% risk weight under the </w:t>
            </w:r>
            <w:proofErr w:type="spellStart"/>
            <w:r w:rsidRPr="007E48EB">
              <w:rPr>
                <w:rFonts w:ascii="Calibri" w:hAnsi="Calibri" w:cs="Calibri"/>
                <w:szCs w:val="24"/>
                <w:lang w:val="en-US"/>
              </w:rPr>
              <w:t>standardised</w:t>
            </w:r>
            <w:proofErr w:type="spellEnd"/>
            <w:r w:rsidRPr="007E48EB">
              <w:rPr>
                <w:rFonts w:ascii="Calibri" w:hAnsi="Calibri" w:cs="Calibri"/>
                <w:szCs w:val="24"/>
                <w:lang w:val="en-US"/>
              </w:rPr>
              <w:t xml:space="preserve"> approach to credit risk</w:t>
            </w:r>
            <w:r>
              <w:rPr>
                <w:rFonts w:ascii="Calibri" w:hAnsi="Calibri" w:cs="Calibri"/>
                <w:szCs w:val="24"/>
                <w:lang w:val="en-US"/>
              </w:rPr>
              <w:t>.</w:t>
            </w:r>
          </w:p>
          <w:p w14:paraId="39364A82" w14:textId="77777777" w:rsidR="007E48EB" w:rsidRDefault="007E48EB" w:rsidP="007E48EB">
            <w:pPr>
              <w:jc w:val="both"/>
            </w:pPr>
          </w:p>
          <w:p w14:paraId="05427C08" w14:textId="16CC43F4" w:rsidR="007E48EB" w:rsidRPr="00F71A9D" w:rsidRDefault="007E48EB" w:rsidP="007E48EB">
            <w:pPr>
              <w:jc w:val="both"/>
              <w:rPr>
                <w:rFonts w:ascii="Calibri" w:hAnsi="Calibri" w:cs="Calibri"/>
                <w:szCs w:val="24"/>
                <w:lang w:val="en-US"/>
              </w:rPr>
            </w:pPr>
            <w:r w:rsidRPr="007E48EB">
              <w:rPr>
                <w:rFonts w:ascii="Calibri" w:hAnsi="Calibri" w:cs="Calibri"/>
                <w:b/>
                <w:bCs/>
                <w:i/>
                <w:iCs/>
                <w:szCs w:val="24"/>
              </w:rPr>
              <w:t>RSF.5.</w:t>
            </w:r>
            <w:r>
              <w:rPr>
                <w:rFonts w:ascii="Calibri" w:hAnsi="Calibri" w:cs="Calibri"/>
                <w:b/>
                <w:bCs/>
                <w:i/>
                <w:iCs/>
                <w:szCs w:val="24"/>
              </w:rPr>
              <w:t>2:</w:t>
            </w:r>
            <w:r w:rsidRPr="007E48EB">
              <w:rPr>
                <w:rFonts w:ascii="Calibri" w:hAnsi="Calibri" w:cs="Calibri"/>
                <w:szCs w:val="24"/>
              </w:rPr>
              <w:t xml:space="preserve"> include</w:t>
            </w:r>
            <w:r w:rsidR="00F71A9D">
              <w:rPr>
                <w:rFonts w:ascii="Calibri" w:hAnsi="Calibri" w:cs="Calibri"/>
                <w:szCs w:val="24"/>
              </w:rPr>
              <w:t xml:space="preserve"> applicable level 2A HQLA</w:t>
            </w:r>
            <w:r w:rsidRPr="00F71A9D">
              <w:rPr>
                <w:rFonts w:ascii="Calibri" w:hAnsi="Calibri" w:cs="Calibri"/>
                <w:szCs w:val="24"/>
              </w:rPr>
              <w:t xml:space="preserve"> </w:t>
            </w:r>
            <w:r>
              <w:rPr>
                <w:rFonts w:ascii="Calibri" w:hAnsi="Calibri" w:cs="Calibri"/>
                <w:szCs w:val="24"/>
                <w:u w:val="single"/>
              </w:rPr>
              <w:t xml:space="preserve">corporate debt </w:t>
            </w:r>
            <w:r w:rsidR="00F71A9D">
              <w:rPr>
                <w:rFonts w:ascii="Calibri" w:hAnsi="Calibri" w:cs="Calibri"/>
                <w:szCs w:val="24"/>
                <w:u w:val="single"/>
              </w:rPr>
              <w:t>securities</w:t>
            </w:r>
            <w:r w:rsidR="00F71A9D" w:rsidRPr="00F71A9D">
              <w:rPr>
                <w:rFonts w:ascii="Calibri" w:hAnsi="Calibri" w:cs="Calibri"/>
                <w:szCs w:val="24"/>
              </w:rPr>
              <w:t xml:space="preserve"> (including commercial paper) and</w:t>
            </w:r>
            <w:r w:rsidR="00F71A9D">
              <w:rPr>
                <w:rFonts w:ascii="Calibri" w:hAnsi="Calibri" w:cs="Calibri"/>
                <w:szCs w:val="24"/>
                <w:u w:val="single"/>
              </w:rPr>
              <w:t xml:space="preserve"> covered bonds</w:t>
            </w:r>
            <w:r w:rsidR="00F71A9D">
              <w:rPr>
                <w:rFonts w:ascii="Calibri" w:hAnsi="Calibri" w:cs="Calibri"/>
                <w:szCs w:val="24"/>
              </w:rPr>
              <w:t xml:space="preserve"> (must have a credit rating of at least AA- or equivalent according to the standardised approach to credit risk).</w:t>
            </w:r>
          </w:p>
          <w:p w14:paraId="61638645" w14:textId="562CED27" w:rsidR="004B202F" w:rsidRPr="004B202F" w:rsidRDefault="004B202F" w:rsidP="00D75186">
            <w:pPr>
              <w:contextualSpacing/>
              <w:rPr>
                <w:b/>
                <w:bCs/>
              </w:rPr>
            </w:pPr>
          </w:p>
        </w:tc>
      </w:tr>
      <w:tr w:rsidR="00222FC2" w14:paraId="7DE0B658" w14:textId="77777777" w:rsidTr="004F18B6">
        <w:trPr>
          <w:trHeight w:val="352"/>
        </w:trPr>
        <w:tc>
          <w:tcPr>
            <w:tcW w:w="988" w:type="dxa"/>
          </w:tcPr>
          <w:p w14:paraId="0EE189F6" w14:textId="58C8BEBA" w:rsidR="00222FC2" w:rsidRPr="00E6642B" w:rsidRDefault="004B202F" w:rsidP="00222FC2">
            <w:r>
              <w:t>RSF.</w:t>
            </w:r>
            <w:r w:rsidR="00B55F63">
              <w:t>6</w:t>
            </w:r>
          </w:p>
        </w:tc>
        <w:tc>
          <w:tcPr>
            <w:tcW w:w="7957" w:type="dxa"/>
          </w:tcPr>
          <w:p w14:paraId="239B797A" w14:textId="77777777" w:rsidR="00222FC2" w:rsidRDefault="006D685B" w:rsidP="00222FC2">
            <w:pPr>
              <w:contextualSpacing/>
              <w:rPr>
                <w:b/>
                <w:bCs/>
              </w:rPr>
            </w:pPr>
            <w:r w:rsidRPr="006D685B">
              <w:rPr>
                <w:b/>
                <w:bCs/>
              </w:rPr>
              <w:t>Unencumbered Level 2B HQLA (50% RSF factor)</w:t>
            </w:r>
          </w:p>
          <w:p w14:paraId="4DAA4EC9" w14:textId="20919E99" w:rsidR="000122CD" w:rsidRDefault="000122CD" w:rsidP="000122CD">
            <w:pPr>
              <w:contextualSpacing/>
              <w:jc w:val="both"/>
            </w:pPr>
            <w:r>
              <w:t xml:space="preserve">Report unencumbered level 2B HQLA assets as defined </w:t>
            </w:r>
            <w:r w:rsidR="00261E8F">
              <w:t>for</w:t>
            </w:r>
            <w:r>
              <w:t xml:space="preserve"> LCR</w:t>
            </w:r>
            <w:r w:rsidR="00261E8F">
              <w:t xml:space="preserve"> purposes</w:t>
            </w:r>
            <w:r>
              <w:t>, as follows:</w:t>
            </w:r>
          </w:p>
          <w:p w14:paraId="199D4A84" w14:textId="77777777" w:rsidR="000122CD" w:rsidRDefault="000122CD" w:rsidP="000122CD">
            <w:pPr>
              <w:contextualSpacing/>
            </w:pPr>
          </w:p>
          <w:p w14:paraId="42406718" w14:textId="2849CE8C" w:rsidR="000122CD" w:rsidRDefault="000122CD" w:rsidP="000122CD">
            <w:pPr>
              <w:jc w:val="both"/>
              <w:rPr>
                <w:rFonts w:ascii="Calibri" w:hAnsi="Calibri" w:cs="Calibri"/>
                <w:szCs w:val="24"/>
                <w:lang w:val="en-US"/>
              </w:rPr>
            </w:pPr>
            <w:r w:rsidRPr="007E48EB">
              <w:rPr>
                <w:rFonts w:ascii="Calibri" w:hAnsi="Calibri" w:cs="Calibri"/>
                <w:b/>
                <w:bCs/>
                <w:i/>
                <w:iCs/>
                <w:szCs w:val="24"/>
              </w:rPr>
              <w:t>RSF.</w:t>
            </w:r>
            <w:r w:rsidR="000328DE">
              <w:rPr>
                <w:rFonts w:ascii="Calibri" w:hAnsi="Calibri" w:cs="Calibri"/>
                <w:b/>
                <w:bCs/>
                <w:i/>
                <w:iCs/>
                <w:szCs w:val="24"/>
              </w:rPr>
              <w:t>6</w:t>
            </w:r>
            <w:r w:rsidRPr="007E48EB">
              <w:rPr>
                <w:rFonts w:ascii="Calibri" w:hAnsi="Calibri" w:cs="Calibri"/>
                <w:b/>
                <w:bCs/>
                <w:i/>
                <w:iCs/>
                <w:szCs w:val="24"/>
              </w:rPr>
              <w:t>.1</w:t>
            </w:r>
            <w:r>
              <w:rPr>
                <w:rFonts w:ascii="Calibri" w:hAnsi="Calibri" w:cs="Calibri"/>
                <w:b/>
                <w:bCs/>
                <w:i/>
                <w:iCs/>
                <w:szCs w:val="24"/>
              </w:rPr>
              <w:t>:</w:t>
            </w:r>
            <w:r w:rsidRPr="007E48EB">
              <w:rPr>
                <w:rFonts w:ascii="Calibri" w:hAnsi="Calibri" w:cs="Calibri"/>
                <w:szCs w:val="24"/>
              </w:rPr>
              <w:t xml:space="preserve"> </w:t>
            </w:r>
            <w:r w:rsidR="005A1E00">
              <w:rPr>
                <w:rFonts w:ascii="Calibri" w:hAnsi="Calibri" w:cs="Calibri"/>
                <w:szCs w:val="24"/>
              </w:rPr>
              <w:t>include</w:t>
            </w:r>
            <w:r w:rsidR="002A2DA1">
              <w:rPr>
                <w:rFonts w:ascii="Calibri" w:hAnsi="Calibri" w:cs="Calibri"/>
                <w:szCs w:val="24"/>
              </w:rPr>
              <w:t xml:space="preserve"> applicable level 2B HQLA</w:t>
            </w:r>
            <w:r w:rsidR="005A1E00">
              <w:rPr>
                <w:rFonts w:ascii="Calibri" w:hAnsi="Calibri" w:cs="Calibri"/>
                <w:szCs w:val="24"/>
              </w:rPr>
              <w:t xml:space="preserve"> </w:t>
            </w:r>
            <w:r w:rsidR="005A1E00" w:rsidRPr="002A2DA1">
              <w:rPr>
                <w:rFonts w:ascii="Calibri" w:hAnsi="Calibri" w:cs="Calibri"/>
                <w:szCs w:val="24"/>
                <w:u w:val="single"/>
              </w:rPr>
              <w:t>residential mortgage-backed securities</w:t>
            </w:r>
            <w:r w:rsidR="005A1E00">
              <w:rPr>
                <w:rFonts w:ascii="Calibri" w:hAnsi="Calibri" w:cs="Calibri"/>
                <w:szCs w:val="24"/>
              </w:rPr>
              <w:t xml:space="preserve"> (RMBS) with a credit rating of at least AA or equivalent according to the standardised approach to credit risk</w:t>
            </w:r>
            <w:r>
              <w:rPr>
                <w:rFonts w:ascii="Calibri" w:hAnsi="Calibri" w:cs="Calibri"/>
                <w:szCs w:val="24"/>
                <w:lang w:val="en-US"/>
              </w:rPr>
              <w:t>.</w:t>
            </w:r>
          </w:p>
          <w:p w14:paraId="3BBFE5F3" w14:textId="77777777" w:rsidR="000122CD" w:rsidRDefault="000122CD" w:rsidP="000122CD">
            <w:pPr>
              <w:jc w:val="both"/>
            </w:pPr>
          </w:p>
          <w:p w14:paraId="4BE57A23" w14:textId="328596B2" w:rsidR="000122CD" w:rsidRDefault="000122CD" w:rsidP="000122CD">
            <w:pPr>
              <w:jc w:val="both"/>
              <w:rPr>
                <w:rFonts w:ascii="Calibri" w:hAnsi="Calibri" w:cs="Calibri"/>
                <w:szCs w:val="24"/>
              </w:rPr>
            </w:pPr>
            <w:r w:rsidRPr="007E48EB">
              <w:rPr>
                <w:rFonts w:ascii="Calibri" w:hAnsi="Calibri" w:cs="Calibri"/>
                <w:b/>
                <w:bCs/>
                <w:i/>
                <w:iCs/>
                <w:szCs w:val="24"/>
              </w:rPr>
              <w:t>RSF.</w:t>
            </w:r>
            <w:r w:rsidR="000328DE">
              <w:rPr>
                <w:rFonts w:ascii="Calibri" w:hAnsi="Calibri" w:cs="Calibri"/>
                <w:b/>
                <w:bCs/>
                <w:i/>
                <w:iCs/>
                <w:szCs w:val="24"/>
              </w:rPr>
              <w:t>6</w:t>
            </w:r>
            <w:r w:rsidRPr="007E48EB">
              <w:rPr>
                <w:rFonts w:ascii="Calibri" w:hAnsi="Calibri" w:cs="Calibri"/>
                <w:b/>
                <w:bCs/>
                <w:i/>
                <w:iCs/>
                <w:szCs w:val="24"/>
              </w:rPr>
              <w:t>.</w:t>
            </w:r>
            <w:r>
              <w:rPr>
                <w:rFonts w:ascii="Calibri" w:hAnsi="Calibri" w:cs="Calibri"/>
                <w:b/>
                <w:bCs/>
                <w:i/>
                <w:iCs/>
                <w:szCs w:val="24"/>
              </w:rPr>
              <w:t>2:</w:t>
            </w:r>
            <w:r w:rsidRPr="007E48EB">
              <w:rPr>
                <w:rFonts w:ascii="Calibri" w:hAnsi="Calibri" w:cs="Calibri"/>
                <w:szCs w:val="24"/>
              </w:rPr>
              <w:t xml:space="preserve"> include</w:t>
            </w:r>
            <w:r>
              <w:rPr>
                <w:rFonts w:ascii="Calibri" w:hAnsi="Calibri" w:cs="Calibri"/>
                <w:szCs w:val="24"/>
              </w:rPr>
              <w:t xml:space="preserve"> applicable level 2</w:t>
            </w:r>
            <w:r w:rsidR="002A2DA1">
              <w:rPr>
                <w:rFonts w:ascii="Calibri" w:hAnsi="Calibri" w:cs="Calibri"/>
                <w:szCs w:val="24"/>
              </w:rPr>
              <w:t>B</w:t>
            </w:r>
            <w:r>
              <w:rPr>
                <w:rFonts w:ascii="Calibri" w:hAnsi="Calibri" w:cs="Calibri"/>
                <w:szCs w:val="24"/>
              </w:rPr>
              <w:t xml:space="preserve"> HQLA</w:t>
            </w:r>
            <w:r w:rsidRPr="00F71A9D">
              <w:rPr>
                <w:rFonts w:ascii="Calibri" w:hAnsi="Calibri" w:cs="Calibri"/>
                <w:szCs w:val="24"/>
              </w:rPr>
              <w:t xml:space="preserve"> </w:t>
            </w:r>
            <w:r>
              <w:rPr>
                <w:rFonts w:ascii="Calibri" w:hAnsi="Calibri" w:cs="Calibri"/>
                <w:szCs w:val="24"/>
                <w:u w:val="single"/>
              </w:rPr>
              <w:t>corporate debt securities</w:t>
            </w:r>
            <w:r w:rsidRPr="00F71A9D">
              <w:rPr>
                <w:rFonts w:ascii="Calibri" w:hAnsi="Calibri" w:cs="Calibri"/>
                <w:szCs w:val="24"/>
              </w:rPr>
              <w:t xml:space="preserve"> (including commercial paper) </w:t>
            </w:r>
            <w:r>
              <w:rPr>
                <w:rFonts w:ascii="Calibri" w:hAnsi="Calibri" w:cs="Calibri"/>
                <w:szCs w:val="24"/>
              </w:rPr>
              <w:t xml:space="preserve">(must have a credit rating of </w:t>
            </w:r>
            <w:r w:rsidR="002A2DA1">
              <w:rPr>
                <w:rFonts w:ascii="Calibri" w:hAnsi="Calibri" w:cs="Calibri"/>
                <w:szCs w:val="24"/>
              </w:rPr>
              <w:t>between A+ and BBB-</w:t>
            </w:r>
            <w:r>
              <w:rPr>
                <w:rFonts w:ascii="Calibri" w:hAnsi="Calibri" w:cs="Calibri"/>
                <w:szCs w:val="24"/>
              </w:rPr>
              <w:t xml:space="preserve"> or equivalent according to the standardised approach to credit risk).</w:t>
            </w:r>
          </w:p>
          <w:p w14:paraId="78728397" w14:textId="77777777" w:rsidR="000122CD" w:rsidRDefault="000122CD" w:rsidP="000122CD">
            <w:pPr>
              <w:jc w:val="both"/>
              <w:rPr>
                <w:rFonts w:ascii="Calibri" w:hAnsi="Calibri" w:cs="Calibri"/>
                <w:szCs w:val="24"/>
                <w:lang w:val="en-US"/>
              </w:rPr>
            </w:pPr>
          </w:p>
          <w:p w14:paraId="0EA1B574" w14:textId="49F2E93B" w:rsidR="00D818F6" w:rsidRDefault="00D818F6" w:rsidP="00D818F6">
            <w:pPr>
              <w:jc w:val="both"/>
              <w:rPr>
                <w:rFonts w:ascii="Calibri" w:hAnsi="Calibri" w:cs="Calibri"/>
                <w:szCs w:val="24"/>
              </w:rPr>
            </w:pPr>
            <w:r w:rsidRPr="007E48EB">
              <w:rPr>
                <w:rFonts w:ascii="Calibri" w:hAnsi="Calibri" w:cs="Calibri"/>
                <w:b/>
                <w:bCs/>
                <w:i/>
                <w:iCs/>
                <w:szCs w:val="24"/>
              </w:rPr>
              <w:t>RSF.</w:t>
            </w:r>
            <w:r w:rsidR="000328DE">
              <w:rPr>
                <w:rFonts w:ascii="Calibri" w:hAnsi="Calibri" w:cs="Calibri"/>
                <w:b/>
                <w:bCs/>
                <w:i/>
                <w:iCs/>
                <w:szCs w:val="24"/>
              </w:rPr>
              <w:t>6</w:t>
            </w:r>
            <w:r w:rsidRPr="007E48EB">
              <w:rPr>
                <w:rFonts w:ascii="Calibri" w:hAnsi="Calibri" w:cs="Calibri"/>
                <w:b/>
                <w:bCs/>
                <w:i/>
                <w:iCs/>
                <w:szCs w:val="24"/>
              </w:rPr>
              <w:t>.</w:t>
            </w:r>
            <w:r>
              <w:rPr>
                <w:rFonts w:ascii="Calibri" w:hAnsi="Calibri" w:cs="Calibri"/>
                <w:b/>
                <w:bCs/>
                <w:i/>
                <w:iCs/>
                <w:szCs w:val="24"/>
              </w:rPr>
              <w:t>3:</w:t>
            </w:r>
            <w:r w:rsidRPr="007E48EB">
              <w:rPr>
                <w:rFonts w:ascii="Calibri" w:hAnsi="Calibri" w:cs="Calibri"/>
                <w:szCs w:val="24"/>
              </w:rPr>
              <w:t xml:space="preserve"> include</w:t>
            </w:r>
            <w:r>
              <w:rPr>
                <w:rFonts w:ascii="Calibri" w:hAnsi="Calibri" w:cs="Calibri"/>
                <w:szCs w:val="24"/>
              </w:rPr>
              <w:t xml:space="preserve"> </w:t>
            </w:r>
            <w:r w:rsidR="002A2DA1">
              <w:rPr>
                <w:rFonts w:ascii="Calibri" w:hAnsi="Calibri" w:cs="Calibri"/>
                <w:szCs w:val="24"/>
              </w:rPr>
              <w:t>applicable level 2B HQLA non-financial common equity shares (</w:t>
            </w:r>
            <w:r w:rsidR="002A2DA1" w:rsidRPr="002A2DA1">
              <w:rPr>
                <w:rFonts w:ascii="Calibri" w:hAnsi="Calibri" w:cs="Calibri"/>
                <w:szCs w:val="24"/>
                <w:u w:val="single"/>
              </w:rPr>
              <w:t>exchange traded shares</w:t>
            </w:r>
            <w:r w:rsidR="002A2DA1">
              <w:rPr>
                <w:rFonts w:ascii="Calibri" w:hAnsi="Calibri" w:cs="Calibri"/>
                <w:szCs w:val="24"/>
              </w:rPr>
              <w:t>).</w:t>
            </w:r>
          </w:p>
          <w:p w14:paraId="19C01232" w14:textId="77777777" w:rsidR="000122CD" w:rsidRDefault="000122CD" w:rsidP="000122CD">
            <w:pPr>
              <w:jc w:val="both"/>
              <w:rPr>
                <w:rFonts w:ascii="Calibri" w:hAnsi="Calibri" w:cs="Calibri"/>
                <w:szCs w:val="24"/>
                <w:lang w:val="en-US"/>
              </w:rPr>
            </w:pPr>
          </w:p>
          <w:p w14:paraId="5A402378" w14:textId="06EA499D" w:rsidR="00D818F6" w:rsidRDefault="00D818F6" w:rsidP="00D818F6">
            <w:pPr>
              <w:jc w:val="both"/>
              <w:rPr>
                <w:rFonts w:ascii="Calibri" w:hAnsi="Calibri" w:cs="Calibri"/>
                <w:szCs w:val="24"/>
              </w:rPr>
            </w:pPr>
            <w:r w:rsidRPr="007E48EB">
              <w:rPr>
                <w:rFonts w:ascii="Calibri" w:hAnsi="Calibri" w:cs="Calibri"/>
                <w:b/>
                <w:bCs/>
                <w:i/>
                <w:iCs/>
                <w:szCs w:val="24"/>
              </w:rPr>
              <w:t>RSF.</w:t>
            </w:r>
            <w:r w:rsidR="000328DE">
              <w:rPr>
                <w:rFonts w:ascii="Calibri" w:hAnsi="Calibri" w:cs="Calibri"/>
                <w:b/>
                <w:bCs/>
                <w:i/>
                <w:iCs/>
                <w:szCs w:val="24"/>
              </w:rPr>
              <w:t>6</w:t>
            </w:r>
            <w:r w:rsidRPr="007E48EB">
              <w:rPr>
                <w:rFonts w:ascii="Calibri" w:hAnsi="Calibri" w:cs="Calibri"/>
                <w:b/>
                <w:bCs/>
                <w:i/>
                <w:iCs/>
                <w:szCs w:val="24"/>
              </w:rPr>
              <w:t>.</w:t>
            </w:r>
            <w:r>
              <w:rPr>
                <w:rFonts w:ascii="Calibri" w:hAnsi="Calibri" w:cs="Calibri"/>
                <w:b/>
                <w:bCs/>
                <w:i/>
                <w:iCs/>
                <w:szCs w:val="24"/>
              </w:rPr>
              <w:t>4:</w:t>
            </w:r>
            <w:r w:rsidRPr="007E48EB">
              <w:rPr>
                <w:rFonts w:ascii="Calibri" w:hAnsi="Calibri" w:cs="Calibri"/>
                <w:szCs w:val="24"/>
              </w:rPr>
              <w:t xml:space="preserve"> include</w:t>
            </w:r>
            <w:r>
              <w:rPr>
                <w:rFonts w:ascii="Calibri" w:hAnsi="Calibri" w:cs="Calibri"/>
                <w:szCs w:val="24"/>
              </w:rPr>
              <w:t xml:space="preserve"> applicable level 2</w:t>
            </w:r>
            <w:r w:rsidR="002A2DA1">
              <w:rPr>
                <w:rFonts w:ascii="Calibri" w:hAnsi="Calibri" w:cs="Calibri"/>
                <w:szCs w:val="24"/>
              </w:rPr>
              <w:t>B</w:t>
            </w:r>
            <w:r>
              <w:rPr>
                <w:rFonts w:ascii="Calibri" w:hAnsi="Calibri" w:cs="Calibri"/>
                <w:szCs w:val="24"/>
              </w:rPr>
              <w:t xml:space="preserve"> HQLA</w:t>
            </w:r>
            <w:r w:rsidRPr="00F71A9D">
              <w:rPr>
                <w:rFonts w:ascii="Calibri" w:hAnsi="Calibri" w:cs="Calibri"/>
                <w:szCs w:val="24"/>
              </w:rPr>
              <w:t xml:space="preserve"> </w:t>
            </w:r>
            <w:r w:rsidR="002A2DA1">
              <w:rPr>
                <w:rFonts w:ascii="Calibri" w:hAnsi="Calibri" w:cs="Calibri"/>
                <w:szCs w:val="24"/>
                <w:u w:val="single"/>
              </w:rPr>
              <w:t>sovereign and central bank debt securities</w:t>
            </w:r>
            <w:r w:rsidRPr="00F71A9D">
              <w:rPr>
                <w:rFonts w:ascii="Calibri" w:hAnsi="Calibri" w:cs="Calibri"/>
                <w:szCs w:val="24"/>
              </w:rPr>
              <w:t xml:space="preserve"> (</w:t>
            </w:r>
            <w:r w:rsidR="002A2DA1">
              <w:rPr>
                <w:rFonts w:ascii="Calibri" w:hAnsi="Calibri" w:cs="Calibri"/>
                <w:szCs w:val="24"/>
              </w:rPr>
              <w:t>those rated BBB+ to BBB- or equivalent under the standardised approach to credit risk)</w:t>
            </w:r>
            <w:r w:rsidRPr="00F71A9D">
              <w:rPr>
                <w:rFonts w:ascii="Calibri" w:hAnsi="Calibri" w:cs="Calibri"/>
                <w:szCs w:val="24"/>
              </w:rPr>
              <w:t xml:space="preserve"> and</w:t>
            </w:r>
            <w:r w:rsidR="002A2DA1">
              <w:rPr>
                <w:rFonts w:ascii="Calibri" w:hAnsi="Calibri" w:cs="Calibri"/>
                <w:szCs w:val="24"/>
              </w:rPr>
              <w:t xml:space="preserve"> applicable</w:t>
            </w:r>
            <w:r>
              <w:rPr>
                <w:rFonts w:ascii="Calibri" w:hAnsi="Calibri" w:cs="Calibri"/>
                <w:szCs w:val="24"/>
                <w:u w:val="single"/>
              </w:rPr>
              <w:t xml:space="preserve"> </w:t>
            </w:r>
            <w:r w:rsidR="002A2DA1">
              <w:rPr>
                <w:rFonts w:ascii="Calibri" w:hAnsi="Calibri" w:cs="Calibri"/>
                <w:szCs w:val="24"/>
                <w:u w:val="single"/>
              </w:rPr>
              <w:t>PSE debt securities</w:t>
            </w:r>
            <w:r>
              <w:rPr>
                <w:rFonts w:ascii="Calibri" w:hAnsi="Calibri" w:cs="Calibri"/>
                <w:szCs w:val="24"/>
              </w:rPr>
              <w:t xml:space="preserve"> (must have a credit rating of at least </w:t>
            </w:r>
            <w:r w:rsidR="0023035D">
              <w:rPr>
                <w:rFonts w:ascii="Calibri" w:hAnsi="Calibri" w:cs="Calibri"/>
                <w:szCs w:val="24"/>
              </w:rPr>
              <w:t>BBB</w:t>
            </w:r>
            <w:r>
              <w:rPr>
                <w:rFonts w:ascii="Calibri" w:hAnsi="Calibri" w:cs="Calibri"/>
                <w:szCs w:val="24"/>
              </w:rPr>
              <w:t>- or equivalent according to the standardised approach to credit risk).</w:t>
            </w:r>
          </w:p>
          <w:p w14:paraId="43FA8C2F" w14:textId="291E2F4B" w:rsidR="006D685B" w:rsidRPr="006D685B" w:rsidRDefault="006D685B" w:rsidP="005849F7">
            <w:pPr>
              <w:contextualSpacing/>
              <w:rPr>
                <w:b/>
                <w:bCs/>
              </w:rPr>
            </w:pPr>
          </w:p>
        </w:tc>
      </w:tr>
      <w:tr w:rsidR="00222FC2" w14:paraId="28AD34F6" w14:textId="77777777" w:rsidTr="004F18B6">
        <w:trPr>
          <w:trHeight w:val="352"/>
        </w:trPr>
        <w:tc>
          <w:tcPr>
            <w:tcW w:w="988" w:type="dxa"/>
          </w:tcPr>
          <w:p w14:paraId="014900B1" w14:textId="66DCB8C6" w:rsidR="00222FC2" w:rsidRPr="00E6642B" w:rsidRDefault="006D685B" w:rsidP="00222FC2">
            <w:r>
              <w:t>RSF.</w:t>
            </w:r>
            <w:r w:rsidR="00B55F63">
              <w:t>7</w:t>
            </w:r>
          </w:p>
        </w:tc>
        <w:tc>
          <w:tcPr>
            <w:tcW w:w="7957" w:type="dxa"/>
          </w:tcPr>
          <w:p w14:paraId="56866176" w14:textId="47702470" w:rsidR="000F2949" w:rsidRPr="009B7BE0" w:rsidRDefault="00513B21" w:rsidP="00B55F63">
            <w:pPr>
              <w:contextualSpacing/>
              <w:jc w:val="both"/>
              <w:rPr>
                <w:rFonts w:ascii="Calibri" w:hAnsi="Calibri" w:cs="Calibri"/>
                <w:b/>
                <w:bCs/>
                <w:szCs w:val="24"/>
                <w:lang w:val="en-US"/>
              </w:rPr>
            </w:pPr>
            <w:r>
              <w:rPr>
                <w:rFonts w:ascii="Calibri" w:hAnsi="Calibri" w:cs="Calibri"/>
                <w:b/>
                <w:bCs/>
                <w:szCs w:val="24"/>
                <w:lang w:val="en-US"/>
              </w:rPr>
              <w:t>Other l</w:t>
            </w:r>
            <w:r w:rsidR="000F2949" w:rsidRPr="009B7BE0">
              <w:rPr>
                <w:rFonts w:ascii="Calibri" w:hAnsi="Calibri" w:cs="Calibri"/>
                <w:b/>
                <w:bCs/>
                <w:szCs w:val="24"/>
                <w:lang w:val="en-US"/>
              </w:rPr>
              <w:t>oans to financial inst</w:t>
            </w:r>
            <w:r w:rsidR="000F2949">
              <w:rPr>
                <w:rFonts w:ascii="Calibri" w:hAnsi="Calibri" w:cs="Calibri"/>
                <w:b/>
                <w:bCs/>
                <w:szCs w:val="24"/>
                <w:lang w:val="en-US"/>
              </w:rPr>
              <w:t>it</w:t>
            </w:r>
            <w:r w:rsidR="000F2949" w:rsidRPr="009B7BE0">
              <w:rPr>
                <w:rFonts w:ascii="Calibri" w:hAnsi="Calibri" w:cs="Calibri"/>
                <w:b/>
                <w:bCs/>
                <w:szCs w:val="24"/>
                <w:lang w:val="en-US"/>
              </w:rPr>
              <w:t>utions</w:t>
            </w:r>
            <w:r w:rsidR="00D41B74">
              <w:rPr>
                <w:rFonts w:ascii="Calibri" w:hAnsi="Calibri" w:cs="Calibri"/>
                <w:b/>
                <w:bCs/>
                <w:szCs w:val="24"/>
                <w:lang w:val="en-US"/>
              </w:rPr>
              <w:t xml:space="preserve"> and central banks </w:t>
            </w:r>
            <w:bookmarkStart w:id="11" w:name="_Hlk200976488"/>
            <w:r w:rsidR="00706E8F">
              <w:rPr>
                <w:rFonts w:ascii="Calibri" w:hAnsi="Calibri" w:cs="Calibri"/>
                <w:b/>
                <w:bCs/>
                <w:szCs w:val="24"/>
                <w:lang w:val="en-US"/>
              </w:rPr>
              <w:t>(</w:t>
            </w:r>
            <w:r w:rsidR="00B55F63">
              <w:rPr>
                <w:rFonts w:ascii="Calibri" w:hAnsi="Calibri" w:cs="Calibri"/>
                <w:b/>
                <w:bCs/>
                <w:szCs w:val="24"/>
                <w:lang w:val="en-US"/>
              </w:rPr>
              <w:t xml:space="preserve">15%, </w:t>
            </w:r>
            <w:r w:rsidR="00706E8F">
              <w:rPr>
                <w:rFonts w:ascii="Calibri" w:hAnsi="Calibri" w:cs="Calibri"/>
                <w:b/>
                <w:bCs/>
                <w:szCs w:val="24"/>
                <w:lang w:val="en-US"/>
              </w:rPr>
              <w:t>50%</w:t>
            </w:r>
            <w:r w:rsidR="00B55F63">
              <w:rPr>
                <w:rFonts w:ascii="Calibri" w:hAnsi="Calibri" w:cs="Calibri"/>
                <w:b/>
                <w:bCs/>
                <w:szCs w:val="24"/>
                <w:lang w:val="en-US"/>
              </w:rPr>
              <w:t xml:space="preserve"> or 100%</w:t>
            </w:r>
            <w:r w:rsidR="00706E8F">
              <w:rPr>
                <w:rFonts w:ascii="Calibri" w:hAnsi="Calibri" w:cs="Calibri"/>
                <w:b/>
                <w:bCs/>
                <w:szCs w:val="24"/>
                <w:lang w:val="en-US"/>
              </w:rPr>
              <w:t>RSF factor)</w:t>
            </w:r>
            <w:bookmarkEnd w:id="11"/>
          </w:p>
          <w:p w14:paraId="02747815" w14:textId="54FAD55A" w:rsidR="000F2949" w:rsidRDefault="003C3BC6" w:rsidP="00F04378">
            <w:pPr>
              <w:contextualSpacing/>
              <w:jc w:val="both"/>
              <w:rPr>
                <w:rFonts w:ascii="Calibri" w:hAnsi="Calibri" w:cs="Calibri"/>
                <w:szCs w:val="24"/>
                <w:lang w:val="en-US"/>
              </w:rPr>
            </w:pPr>
            <w:r>
              <w:rPr>
                <w:rFonts w:ascii="Calibri" w:hAnsi="Calibri" w:cs="Calibri"/>
                <w:szCs w:val="24"/>
                <w:lang w:val="en-US"/>
              </w:rPr>
              <w:t>Report</w:t>
            </w:r>
            <w:r w:rsidRPr="009B7BE0">
              <w:rPr>
                <w:rFonts w:ascii="Calibri" w:hAnsi="Calibri" w:cs="Calibri"/>
                <w:szCs w:val="24"/>
                <w:lang w:val="en-US"/>
              </w:rPr>
              <w:t xml:space="preserve"> </w:t>
            </w:r>
            <w:r w:rsidR="000F2949" w:rsidRPr="009B7BE0">
              <w:rPr>
                <w:rFonts w:ascii="Calibri" w:hAnsi="Calibri" w:cs="Calibri"/>
                <w:szCs w:val="24"/>
                <w:lang w:val="en-US"/>
              </w:rPr>
              <w:t xml:space="preserve">all </w:t>
            </w:r>
            <w:r w:rsidR="00B55F63">
              <w:rPr>
                <w:rFonts w:ascii="Calibri" w:hAnsi="Calibri" w:cs="Calibri"/>
                <w:szCs w:val="24"/>
                <w:lang w:val="en-US"/>
              </w:rPr>
              <w:t xml:space="preserve">other unencumbered </w:t>
            </w:r>
            <w:r w:rsidR="000F2949" w:rsidRPr="009B7BE0">
              <w:rPr>
                <w:rFonts w:ascii="Calibri" w:hAnsi="Calibri" w:cs="Calibri"/>
                <w:szCs w:val="24"/>
                <w:lang w:val="en-US"/>
              </w:rPr>
              <w:t xml:space="preserve">loans to financial institutions and central banks </w:t>
            </w:r>
            <w:r w:rsidR="00B55F63">
              <w:rPr>
                <w:rFonts w:ascii="Calibri" w:hAnsi="Calibri" w:cs="Calibri"/>
                <w:szCs w:val="24"/>
                <w:lang w:val="en-US"/>
              </w:rPr>
              <w:t xml:space="preserve">that are not already reported in </w:t>
            </w:r>
            <w:r w:rsidR="00513B21">
              <w:rPr>
                <w:rFonts w:ascii="Calibri" w:hAnsi="Calibri" w:cs="Calibri"/>
                <w:szCs w:val="24"/>
                <w:lang w:val="en-US"/>
              </w:rPr>
              <w:t xml:space="preserve">any of </w:t>
            </w:r>
            <w:r w:rsidR="00B55F63">
              <w:rPr>
                <w:rFonts w:ascii="Calibri" w:hAnsi="Calibri" w:cs="Calibri"/>
                <w:szCs w:val="24"/>
                <w:lang w:val="en-US"/>
              </w:rPr>
              <w:t>Items</w:t>
            </w:r>
            <w:r w:rsidR="00513B21">
              <w:rPr>
                <w:rFonts w:ascii="Calibri" w:hAnsi="Calibri" w:cs="Calibri"/>
                <w:szCs w:val="24"/>
                <w:lang w:val="en-US"/>
              </w:rPr>
              <w:t xml:space="preserve"> RSF.1 to RSF.6</w:t>
            </w:r>
            <w:r w:rsidR="00B55F63">
              <w:rPr>
                <w:rFonts w:ascii="Calibri" w:hAnsi="Calibri" w:cs="Calibri"/>
                <w:szCs w:val="24"/>
                <w:lang w:val="en-US"/>
              </w:rPr>
              <w:t xml:space="preserve"> above (nor in Item RSF.8) as follows:</w:t>
            </w:r>
          </w:p>
          <w:p w14:paraId="0E3E6659" w14:textId="77777777" w:rsidR="00222FC2" w:rsidRDefault="00222FC2" w:rsidP="00F04378">
            <w:pPr>
              <w:contextualSpacing/>
              <w:jc w:val="both"/>
            </w:pPr>
          </w:p>
          <w:p w14:paraId="3CBBF5DF" w14:textId="77777777" w:rsidR="0083739B" w:rsidRDefault="0083739B" w:rsidP="00F04378">
            <w:pPr>
              <w:contextualSpacing/>
              <w:jc w:val="both"/>
            </w:pPr>
          </w:p>
          <w:p w14:paraId="2CF7998E" w14:textId="0874F79D" w:rsidR="00985E28" w:rsidRPr="00985E28" w:rsidRDefault="00985E28" w:rsidP="00F04378">
            <w:pPr>
              <w:contextualSpacing/>
              <w:jc w:val="both"/>
              <w:rPr>
                <w:u w:val="single"/>
              </w:rPr>
            </w:pPr>
            <w:r>
              <w:rPr>
                <w:u w:val="single"/>
              </w:rPr>
              <w:t>Residual maturit</w:t>
            </w:r>
            <w:r w:rsidR="00F04378">
              <w:rPr>
                <w:u w:val="single"/>
              </w:rPr>
              <w:t>y</w:t>
            </w:r>
            <w:r>
              <w:rPr>
                <w:u w:val="single"/>
              </w:rPr>
              <w:t xml:space="preserve"> of less than 6 months (15% RSF factor)</w:t>
            </w:r>
          </w:p>
          <w:p w14:paraId="0858E02A" w14:textId="4449449B" w:rsidR="00B55F63" w:rsidRDefault="00985E28" w:rsidP="00F04378">
            <w:pPr>
              <w:contextualSpacing/>
              <w:jc w:val="both"/>
              <w:rPr>
                <w:rFonts w:ascii="Calibri" w:hAnsi="Calibri" w:cs="Calibri"/>
                <w:szCs w:val="24"/>
                <w:lang w:val="en-US"/>
              </w:rPr>
            </w:pPr>
            <w:r>
              <w:rPr>
                <w:rFonts w:ascii="Calibri" w:hAnsi="Calibri" w:cs="Calibri"/>
                <w:szCs w:val="24"/>
                <w:lang w:val="en-US"/>
              </w:rPr>
              <w:lastRenderedPageBreak/>
              <w:t>Report unencumbered loans to financial institutions with residual maturit</w:t>
            </w:r>
            <w:r w:rsidR="00F04378">
              <w:rPr>
                <w:rFonts w:ascii="Calibri" w:hAnsi="Calibri" w:cs="Calibri"/>
                <w:szCs w:val="24"/>
                <w:lang w:val="en-US"/>
              </w:rPr>
              <w:t>y</w:t>
            </w:r>
            <w:r>
              <w:rPr>
                <w:rFonts w:ascii="Calibri" w:hAnsi="Calibri" w:cs="Calibri"/>
                <w:szCs w:val="24"/>
                <w:lang w:val="en-US"/>
              </w:rPr>
              <w:t xml:space="preserve"> of less than six months </w:t>
            </w:r>
            <w:r w:rsidR="00513B21">
              <w:rPr>
                <w:rFonts w:ascii="Calibri" w:hAnsi="Calibri" w:cs="Calibri"/>
                <w:szCs w:val="24"/>
                <w:lang w:val="en-US"/>
              </w:rPr>
              <w:t>(</w:t>
            </w:r>
            <w:r>
              <w:rPr>
                <w:rFonts w:ascii="Calibri" w:hAnsi="Calibri" w:cs="Calibri"/>
                <w:szCs w:val="24"/>
                <w:lang w:val="en-US"/>
              </w:rPr>
              <w:t>not included in Item RSF.4</w:t>
            </w:r>
            <w:r w:rsidR="00513B21">
              <w:rPr>
                <w:rFonts w:ascii="Calibri" w:hAnsi="Calibri" w:cs="Calibri"/>
                <w:szCs w:val="24"/>
                <w:lang w:val="en-US"/>
              </w:rPr>
              <w:t>)</w:t>
            </w:r>
            <w:r>
              <w:rPr>
                <w:rFonts w:ascii="Calibri" w:hAnsi="Calibri" w:cs="Calibri"/>
                <w:szCs w:val="24"/>
                <w:lang w:val="en-US"/>
              </w:rPr>
              <w:t>.</w:t>
            </w:r>
          </w:p>
          <w:p w14:paraId="6A55BF1A" w14:textId="77777777" w:rsidR="00EE4649" w:rsidRDefault="00EE4649" w:rsidP="00F04378">
            <w:pPr>
              <w:contextualSpacing/>
              <w:jc w:val="both"/>
              <w:rPr>
                <w:rFonts w:cs="Calibri"/>
                <w:lang w:val="en-US"/>
              </w:rPr>
            </w:pPr>
          </w:p>
          <w:p w14:paraId="458B29B8" w14:textId="2ABECBCF" w:rsidR="00EE4649" w:rsidRPr="005849F7" w:rsidRDefault="00EE4649" w:rsidP="00F04378">
            <w:pPr>
              <w:contextualSpacing/>
              <w:jc w:val="both"/>
              <w:rPr>
                <w:i/>
                <w:iCs/>
              </w:rPr>
            </w:pPr>
            <w:r w:rsidRPr="005849F7">
              <w:rPr>
                <w:rFonts w:cs="Calibri"/>
                <w:i/>
                <w:iCs/>
                <w:lang w:val="en-US"/>
              </w:rPr>
              <w:t>Note: Claims against central banks with a residual maturity of less than six months are reported under RSF.1.</w:t>
            </w:r>
          </w:p>
          <w:p w14:paraId="40831C70" w14:textId="77777777" w:rsidR="00B55F63" w:rsidRDefault="00B55F63" w:rsidP="00F04378">
            <w:pPr>
              <w:contextualSpacing/>
              <w:jc w:val="both"/>
            </w:pPr>
          </w:p>
          <w:p w14:paraId="7EDC6329" w14:textId="72CBED7C" w:rsidR="00985E28" w:rsidRDefault="00985E28" w:rsidP="00F04378">
            <w:pPr>
              <w:contextualSpacing/>
              <w:jc w:val="both"/>
              <w:rPr>
                <w:u w:val="single"/>
              </w:rPr>
            </w:pPr>
            <w:r>
              <w:rPr>
                <w:u w:val="single"/>
              </w:rPr>
              <w:t>Residual maturit</w:t>
            </w:r>
            <w:r w:rsidR="00F04378">
              <w:rPr>
                <w:u w:val="single"/>
              </w:rPr>
              <w:t>y</w:t>
            </w:r>
            <w:r>
              <w:rPr>
                <w:u w:val="single"/>
              </w:rPr>
              <w:t xml:space="preserve"> between 6 months and less than 1 year (50% RSF factor)</w:t>
            </w:r>
          </w:p>
          <w:p w14:paraId="5A4E6ACD" w14:textId="446BD845" w:rsidR="00985E28" w:rsidRDefault="00985E28" w:rsidP="00F04378">
            <w:pPr>
              <w:contextualSpacing/>
              <w:jc w:val="both"/>
            </w:pPr>
            <w:r>
              <w:t xml:space="preserve">Report </w:t>
            </w:r>
            <w:r w:rsidR="00133A80">
              <w:t xml:space="preserve">unencumbered </w:t>
            </w:r>
            <w:r>
              <w:t>loans to financial institutions and central banks with residual maturity of between six months and less than one year.</w:t>
            </w:r>
          </w:p>
          <w:p w14:paraId="3E045CDA" w14:textId="77777777" w:rsidR="00B55F63" w:rsidRDefault="00B55F63" w:rsidP="00F04378">
            <w:pPr>
              <w:contextualSpacing/>
              <w:jc w:val="both"/>
              <w:rPr>
                <w:rFonts w:ascii="Calibri" w:hAnsi="Calibri" w:cs="Calibri"/>
                <w:b/>
                <w:bCs/>
                <w:szCs w:val="24"/>
              </w:rPr>
            </w:pPr>
          </w:p>
          <w:p w14:paraId="486ADF0D" w14:textId="66A8DDA1" w:rsidR="00B55F63" w:rsidRPr="008107B4" w:rsidRDefault="00B55F63" w:rsidP="00F04378">
            <w:pPr>
              <w:contextualSpacing/>
              <w:jc w:val="both"/>
              <w:rPr>
                <w:rFonts w:ascii="Calibri" w:hAnsi="Calibri" w:cs="Calibri"/>
                <w:szCs w:val="24"/>
                <w:u w:val="single"/>
              </w:rPr>
            </w:pPr>
            <w:r w:rsidRPr="008107B4">
              <w:rPr>
                <w:rFonts w:ascii="Calibri" w:hAnsi="Calibri" w:cs="Calibri"/>
                <w:szCs w:val="24"/>
                <w:u w:val="single"/>
              </w:rPr>
              <w:t xml:space="preserve">More than </w:t>
            </w:r>
            <w:r w:rsidR="00985E28" w:rsidRPr="008107B4">
              <w:rPr>
                <w:rFonts w:ascii="Calibri" w:hAnsi="Calibri" w:cs="Calibri"/>
                <w:szCs w:val="24"/>
                <w:u w:val="single"/>
              </w:rPr>
              <w:t>1-year</w:t>
            </w:r>
            <w:r w:rsidRPr="008107B4">
              <w:rPr>
                <w:rFonts w:ascii="Calibri" w:hAnsi="Calibri" w:cs="Calibri"/>
                <w:szCs w:val="24"/>
                <w:u w:val="single"/>
              </w:rPr>
              <w:t xml:space="preserve"> residual maturity</w:t>
            </w:r>
            <w:r>
              <w:rPr>
                <w:rFonts w:ascii="Calibri" w:hAnsi="Calibri" w:cs="Calibri"/>
                <w:szCs w:val="24"/>
                <w:u w:val="single"/>
              </w:rPr>
              <w:t xml:space="preserve"> (100% </w:t>
            </w:r>
            <w:r w:rsidR="00985E28">
              <w:rPr>
                <w:rFonts w:ascii="Calibri" w:hAnsi="Calibri" w:cs="Calibri"/>
                <w:szCs w:val="24"/>
                <w:u w:val="single"/>
              </w:rPr>
              <w:t>R</w:t>
            </w:r>
            <w:r>
              <w:rPr>
                <w:rFonts w:ascii="Calibri" w:hAnsi="Calibri" w:cs="Calibri"/>
                <w:szCs w:val="24"/>
                <w:u w:val="single"/>
              </w:rPr>
              <w:t>SF factor)</w:t>
            </w:r>
          </w:p>
          <w:p w14:paraId="02C5CF15" w14:textId="364DB337" w:rsidR="00513B21" w:rsidRDefault="00513B21" w:rsidP="00F04378">
            <w:pPr>
              <w:contextualSpacing/>
              <w:jc w:val="both"/>
            </w:pPr>
            <w:r>
              <w:t xml:space="preserve">Report </w:t>
            </w:r>
            <w:r w:rsidR="00323F54">
              <w:t xml:space="preserve">unencumbered </w:t>
            </w:r>
            <w:r>
              <w:t>loans to financial institutions and central banks with residual maturity of more than one year.</w:t>
            </w:r>
          </w:p>
          <w:p w14:paraId="35F5904A" w14:textId="77777777" w:rsidR="00B55F63" w:rsidRDefault="00B55F63" w:rsidP="00D41B74">
            <w:pPr>
              <w:contextualSpacing/>
            </w:pPr>
          </w:p>
        </w:tc>
      </w:tr>
      <w:tr w:rsidR="00222FC2" w14:paraId="796440DC" w14:textId="77777777" w:rsidTr="004F18B6">
        <w:trPr>
          <w:trHeight w:val="352"/>
        </w:trPr>
        <w:tc>
          <w:tcPr>
            <w:tcW w:w="988" w:type="dxa"/>
          </w:tcPr>
          <w:p w14:paraId="17D57F30" w14:textId="731B3662" w:rsidR="00222FC2" w:rsidRPr="00E6642B" w:rsidRDefault="006D685B" w:rsidP="00222FC2">
            <w:r>
              <w:lastRenderedPageBreak/>
              <w:t>RSF.</w:t>
            </w:r>
            <w:r w:rsidR="00B55F63">
              <w:t>8</w:t>
            </w:r>
          </w:p>
        </w:tc>
        <w:tc>
          <w:tcPr>
            <w:tcW w:w="7957" w:type="dxa"/>
          </w:tcPr>
          <w:p w14:paraId="0735E136" w14:textId="1F18510E" w:rsidR="000F2949" w:rsidRPr="009B7BE0" w:rsidRDefault="000F2949" w:rsidP="000F2949">
            <w:pPr>
              <w:contextualSpacing/>
              <w:rPr>
                <w:rFonts w:ascii="Calibri" w:hAnsi="Calibri" w:cs="Calibri"/>
                <w:b/>
                <w:bCs/>
                <w:szCs w:val="24"/>
                <w:lang w:val="en-US"/>
              </w:rPr>
            </w:pPr>
            <w:r>
              <w:rPr>
                <w:rFonts w:ascii="Calibri" w:hAnsi="Calibri" w:cs="Calibri"/>
                <w:b/>
                <w:bCs/>
                <w:szCs w:val="24"/>
                <w:lang w:val="en-US"/>
              </w:rPr>
              <w:t>Operational deposits</w:t>
            </w:r>
            <w:r w:rsidR="00706E8F">
              <w:rPr>
                <w:rFonts w:ascii="Calibri" w:hAnsi="Calibri" w:cs="Calibri"/>
                <w:b/>
                <w:bCs/>
                <w:szCs w:val="24"/>
                <w:lang w:val="en-US"/>
              </w:rPr>
              <w:t xml:space="preserve"> (50% RSF factor)</w:t>
            </w:r>
          </w:p>
          <w:p w14:paraId="59B75508" w14:textId="760237D9" w:rsidR="000F2949" w:rsidRDefault="00617FF8" w:rsidP="00706E8F">
            <w:pPr>
              <w:contextualSpacing/>
              <w:jc w:val="both"/>
              <w:rPr>
                <w:rFonts w:ascii="Calibri" w:hAnsi="Calibri" w:cs="Calibri"/>
                <w:szCs w:val="24"/>
                <w:highlight w:val="yellow"/>
                <w:lang w:val="en-US"/>
              </w:rPr>
            </w:pPr>
            <w:r>
              <w:rPr>
                <w:rFonts w:ascii="Calibri" w:hAnsi="Calibri" w:cs="Calibri"/>
                <w:szCs w:val="24"/>
                <w:lang w:val="en-US"/>
              </w:rPr>
              <w:t>Report</w:t>
            </w:r>
            <w:r w:rsidR="000F2949">
              <w:rPr>
                <w:rFonts w:ascii="Calibri" w:hAnsi="Calibri" w:cs="Calibri"/>
                <w:szCs w:val="24"/>
                <w:lang w:val="en-US"/>
              </w:rPr>
              <w:t xml:space="preserve"> </w:t>
            </w:r>
            <w:r w:rsidR="000F2949" w:rsidRPr="009B7BE0">
              <w:rPr>
                <w:rFonts w:ascii="Calibri" w:hAnsi="Calibri" w:cs="Calibri"/>
                <w:szCs w:val="24"/>
                <w:lang w:val="en-US"/>
              </w:rPr>
              <w:t xml:space="preserve">deposits held at other financial institutions for operational purposes, as </w:t>
            </w:r>
            <w:r w:rsidR="000F2949">
              <w:rPr>
                <w:rFonts w:ascii="Calibri" w:hAnsi="Calibri" w:cs="Calibri"/>
                <w:szCs w:val="24"/>
                <w:lang w:val="en-US"/>
              </w:rPr>
              <w:t>defined</w:t>
            </w:r>
            <w:r w:rsidR="000F2949" w:rsidRPr="009B7BE0">
              <w:rPr>
                <w:rFonts w:ascii="Calibri" w:hAnsi="Calibri" w:cs="Calibri"/>
                <w:szCs w:val="24"/>
                <w:lang w:val="en-US"/>
              </w:rPr>
              <w:t xml:space="preserve"> </w:t>
            </w:r>
            <w:r w:rsidR="00261E8F">
              <w:rPr>
                <w:rFonts w:ascii="Calibri" w:hAnsi="Calibri" w:cs="Calibri"/>
                <w:szCs w:val="24"/>
                <w:lang w:val="en-US"/>
              </w:rPr>
              <w:t>for</w:t>
            </w:r>
            <w:r w:rsidR="00706E8F">
              <w:rPr>
                <w:rFonts w:ascii="Calibri" w:hAnsi="Calibri" w:cs="Calibri"/>
                <w:szCs w:val="24"/>
                <w:lang w:val="en-US"/>
              </w:rPr>
              <w:t xml:space="preserve"> LCR</w:t>
            </w:r>
            <w:r w:rsidR="00261E8F">
              <w:rPr>
                <w:rFonts w:ascii="Calibri" w:hAnsi="Calibri" w:cs="Calibri"/>
                <w:szCs w:val="24"/>
                <w:lang w:val="en-US"/>
              </w:rPr>
              <w:t xml:space="preserve"> purposes</w:t>
            </w:r>
            <w:r w:rsidR="00706E8F">
              <w:rPr>
                <w:rFonts w:ascii="Calibri" w:hAnsi="Calibri" w:cs="Calibri"/>
                <w:szCs w:val="24"/>
                <w:lang w:val="en-US"/>
              </w:rPr>
              <w:t xml:space="preserve">, and which are subject to the 50% ASF factor per Item ASF.7.  </w:t>
            </w:r>
            <w:r w:rsidR="00706E8F">
              <w:rPr>
                <w:rFonts w:ascii="Calibri" w:hAnsi="Calibri" w:cs="Calibri"/>
                <w:szCs w:val="24"/>
              </w:rPr>
              <w:t>For NSFR reporting these are all treated as being less than 6 months maturity.</w:t>
            </w:r>
          </w:p>
          <w:p w14:paraId="11BC21AA" w14:textId="77777777" w:rsidR="00222FC2" w:rsidRDefault="00222FC2" w:rsidP="00706E8F">
            <w:pPr>
              <w:contextualSpacing/>
            </w:pPr>
          </w:p>
        </w:tc>
      </w:tr>
      <w:tr w:rsidR="00222FC2" w14:paraId="396E9406" w14:textId="77777777" w:rsidTr="004F18B6">
        <w:trPr>
          <w:trHeight w:val="352"/>
        </w:trPr>
        <w:tc>
          <w:tcPr>
            <w:tcW w:w="988" w:type="dxa"/>
          </w:tcPr>
          <w:p w14:paraId="16192A6A" w14:textId="1567B101" w:rsidR="00222FC2" w:rsidRPr="00E6642B" w:rsidRDefault="006D685B" w:rsidP="00222FC2">
            <w:r>
              <w:t>RSF.</w:t>
            </w:r>
            <w:r w:rsidR="00985E28">
              <w:t>9</w:t>
            </w:r>
          </w:p>
        </w:tc>
        <w:tc>
          <w:tcPr>
            <w:tcW w:w="7957" w:type="dxa"/>
          </w:tcPr>
          <w:p w14:paraId="4CA6C548" w14:textId="5E1EFD22" w:rsidR="000F2949" w:rsidRPr="001755D2" w:rsidRDefault="000F2949" w:rsidP="000F2949">
            <w:pPr>
              <w:contextualSpacing/>
              <w:rPr>
                <w:rFonts w:ascii="Calibri" w:hAnsi="Calibri" w:cs="Calibri"/>
                <w:b/>
                <w:bCs/>
                <w:szCs w:val="24"/>
                <w:lang w:val="en-US"/>
              </w:rPr>
            </w:pPr>
            <w:r w:rsidRPr="001755D2">
              <w:rPr>
                <w:rFonts w:ascii="Calibri" w:hAnsi="Calibri" w:cs="Calibri"/>
                <w:b/>
                <w:bCs/>
                <w:szCs w:val="24"/>
                <w:lang w:val="en-US"/>
              </w:rPr>
              <w:t>Other non-HQLA</w:t>
            </w:r>
            <w:r>
              <w:rPr>
                <w:rFonts w:ascii="Calibri" w:hAnsi="Calibri" w:cs="Calibri"/>
                <w:b/>
                <w:bCs/>
                <w:szCs w:val="24"/>
                <w:lang w:val="en-US"/>
              </w:rPr>
              <w:t xml:space="preserve"> &lt;</w:t>
            </w:r>
            <w:r w:rsidR="003B1C8E">
              <w:rPr>
                <w:rFonts w:ascii="Calibri" w:hAnsi="Calibri" w:cs="Calibri"/>
                <w:b/>
                <w:bCs/>
                <w:szCs w:val="24"/>
                <w:lang w:val="en-US"/>
              </w:rPr>
              <w:t>1-year</w:t>
            </w:r>
            <w:r w:rsidR="00706E8F">
              <w:rPr>
                <w:rFonts w:ascii="Calibri" w:hAnsi="Calibri" w:cs="Calibri"/>
                <w:b/>
                <w:bCs/>
                <w:szCs w:val="24"/>
                <w:lang w:val="en-US"/>
              </w:rPr>
              <w:t xml:space="preserve"> </w:t>
            </w:r>
            <w:r w:rsidR="0052264F">
              <w:rPr>
                <w:rFonts w:ascii="Calibri" w:hAnsi="Calibri" w:cs="Calibri"/>
                <w:b/>
                <w:bCs/>
                <w:szCs w:val="24"/>
                <w:lang w:val="en-US"/>
              </w:rPr>
              <w:t xml:space="preserve">residual maturity </w:t>
            </w:r>
            <w:r w:rsidR="00706E8F">
              <w:rPr>
                <w:rFonts w:ascii="Calibri" w:hAnsi="Calibri" w:cs="Calibri"/>
                <w:b/>
                <w:bCs/>
                <w:szCs w:val="24"/>
                <w:lang w:val="en-US"/>
              </w:rPr>
              <w:t>(50% RSF factor)</w:t>
            </w:r>
          </w:p>
          <w:p w14:paraId="3D4618DB" w14:textId="4546D3B2" w:rsidR="000F2949" w:rsidRPr="00CB017B" w:rsidRDefault="00617FF8" w:rsidP="00706E8F">
            <w:pPr>
              <w:contextualSpacing/>
              <w:jc w:val="both"/>
              <w:rPr>
                <w:rFonts w:ascii="Calibri" w:hAnsi="Calibri" w:cs="Calibri"/>
                <w:szCs w:val="24"/>
                <w:lang w:val="en-US"/>
              </w:rPr>
            </w:pPr>
            <w:r>
              <w:rPr>
                <w:rFonts w:ascii="Calibri" w:hAnsi="Calibri" w:cs="Calibri"/>
                <w:szCs w:val="24"/>
                <w:lang w:val="en-US"/>
              </w:rPr>
              <w:t>Report</w:t>
            </w:r>
            <w:r w:rsidR="000F2949" w:rsidRPr="00CB017B">
              <w:rPr>
                <w:rFonts w:ascii="Calibri" w:hAnsi="Calibri" w:cs="Calibri"/>
                <w:szCs w:val="24"/>
                <w:lang w:val="en-US"/>
              </w:rPr>
              <w:t xml:space="preserve"> all other non-HQLA not included in the above categories with residual maturity of less than one year, for example, loans to non-financial corporate clients, loans to retail customers (i.e. natural persons) and small business customers, and loans to sovereigns</w:t>
            </w:r>
            <w:r w:rsidR="00706E8F">
              <w:rPr>
                <w:rFonts w:ascii="Calibri" w:hAnsi="Calibri" w:cs="Calibri"/>
                <w:szCs w:val="24"/>
                <w:lang w:val="en-US"/>
              </w:rPr>
              <w:t xml:space="preserve"> </w:t>
            </w:r>
            <w:r w:rsidR="000F2949" w:rsidRPr="00CB017B">
              <w:rPr>
                <w:rFonts w:ascii="Calibri" w:hAnsi="Calibri" w:cs="Calibri"/>
                <w:szCs w:val="24"/>
                <w:lang w:val="en-US"/>
              </w:rPr>
              <w:t>and PSEs.</w:t>
            </w:r>
          </w:p>
          <w:p w14:paraId="1A9AA311" w14:textId="77777777" w:rsidR="00706E8F" w:rsidRDefault="00706E8F" w:rsidP="003B1C8E">
            <w:pPr>
              <w:contextualSpacing/>
            </w:pPr>
          </w:p>
        </w:tc>
      </w:tr>
      <w:tr w:rsidR="00222FC2" w14:paraId="7981E64A" w14:textId="77777777" w:rsidTr="004F18B6">
        <w:trPr>
          <w:trHeight w:val="352"/>
        </w:trPr>
        <w:tc>
          <w:tcPr>
            <w:tcW w:w="988" w:type="dxa"/>
          </w:tcPr>
          <w:p w14:paraId="623183A4" w14:textId="750A0BFB" w:rsidR="00222FC2" w:rsidRPr="00E6642B" w:rsidRDefault="006D685B" w:rsidP="00222FC2">
            <w:r>
              <w:t>RSF.1</w:t>
            </w:r>
            <w:r w:rsidR="00985E28">
              <w:t>0</w:t>
            </w:r>
          </w:p>
        </w:tc>
        <w:tc>
          <w:tcPr>
            <w:tcW w:w="7957" w:type="dxa"/>
          </w:tcPr>
          <w:p w14:paraId="49C1349F" w14:textId="38D99A4E" w:rsidR="004234AF" w:rsidRDefault="004234AF" w:rsidP="004234AF">
            <w:pPr>
              <w:rPr>
                <w:rFonts w:ascii="Calibri" w:hAnsi="Calibri" w:cs="Calibri"/>
                <w:b/>
                <w:bCs/>
                <w:szCs w:val="24"/>
                <w:lang w:val="en-US"/>
              </w:rPr>
            </w:pPr>
            <w:r>
              <w:rPr>
                <w:rFonts w:ascii="Calibri" w:hAnsi="Calibri" w:cs="Calibri"/>
                <w:b/>
                <w:bCs/>
                <w:szCs w:val="24"/>
                <w:lang w:val="en-US"/>
              </w:rPr>
              <w:t>U</w:t>
            </w:r>
            <w:r w:rsidRPr="00613384">
              <w:rPr>
                <w:rFonts w:ascii="Calibri" w:hAnsi="Calibri" w:cs="Calibri"/>
                <w:b/>
                <w:bCs/>
                <w:szCs w:val="24"/>
                <w:lang w:val="en-US"/>
              </w:rPr>
              <w:t>nencumbered residential mortgages</w:t>
            </w:r>
            <w:r>
              <w:rPr>
                <w:rFonts w:ascii="Calibri" w:hAnsi="Calibri" w:cs="Calibri"/>
                <w:b/>
                <w:bCs/>
                <w:szCs w:val="24"/>
                <w:lang w:val="en-US"/>
              </w:rPr>
              <w:t xml:space="preserve"> </w:t>
            </w:r>
            <w:r w:rsidR="006A7B3A">
              <w:rPr>
                <w:rFonts w:ascii="Calibri" w:hAnsi="Calibri" w:cs="Calibri"/>
                <w:b/>
                <w:bCs/>
                <w:szCs w:val="24"/>
                <w:lang w:val="en-US"/>
              </w:rPr>
              <w:t>≥</w:t>
            </w:r>
            <w:r w:rsidR="003B1C8E">
              <w:rPr>
                <w:rFonts w:ascii="Calibri" w:hAnsi="Calibri" w:cs="Calibri"/>
                <w:b/>
                <w:bCs/>
                <w:szCs w:val="24"/>
                <w:lang w:val="en-US"/>
              </w:rPr>
              <w:t>1-year</w:t>
            </w:r>
            <w:r>
              <w:rPr>
                <w:rFonts w:ascii="Calibri" w:hAnsi="Calibri" w:cs="Calibri"/>
                <w:b/>
                <w:bCs/>
                <w:szCs w:val="24"/>
                <w:lang w:val="en-US"/>
              </w:rPr>
              <w:t xml:space="preserve"> </w:t>
            </w:r>
            <w:r w:rsidR="00200AAF">
              <w:rPr>
                <w:rFonts w:ascii="Calibri" w:hAnsi="Calibri" w:cs="Calibri"/>
                <w:b/>
                <w:bCs/>
                <w:szCs w:val="24"/>
                <w:lang w:val="en-US"/>
              </w:rPr>
              <w:t xml:space="preserve">residual maturity (Risk Weight ≤35%) </w:t>
            </w:r>
            <w:r>
              <w:rPr>
                <w:rFonts w:ascii="Calibri" w:hAnsi="Calibri" w:cs="Calibri"/>
                <w:b/>
                <w:bCs/>
                <w:szCs w:val="24"/>
                <w:lang w:val="en-US"/>
              </w:rPr>
              <w:t>(65% RSF factor)</w:t>
            </w:r>
          </w:p>
          <w:p w14:paraId="403ABE21" w14:textId="7FDD6107" w:rsidR="004234AF" w:rsidRDefault="00DC2386" w:rsidP="00B86D9C">
            <w:pPr>
              <w:jc w:val="both"/>
              <w:rPr>
                <w:rFonts w:ascii="Calibri" w:hAnsi="Calibri" w:cs="Calibri"/>
                <w:szCs w:val="24"/>
                <w:lang w:val="en-US"/>
              </w:rPr>
            </w:pPr>
            <w:r>
              <w:rPr>
                <w:rFonts w:ascii="Calibri" w:hAnsi="Calibri" w:cs="Calibri"/>
                <w:szCs w:val="24"/>
                <w:lang w:val="en-US"/>
              </w:rPr>
              <w:t>Report</w:t>
            </w:r>
            <w:r w:rsidR="004234AF">
              <w:rPr>
                <w:rFonts w:ascii="Calibri" w:hAnsi="Calibri" w:cs="Calibri"/>
                <w:szCs w:val="24"/>
                <w:lang w:val="en-US"/>
              </w:rPr>
              <w:t xml:space="preserve"> unencumbered residential mortgages</w:t>
            </w:r>
            <w:r w:rsidR="004234AF" w:rsidRPr="00613384">
              <w:rPr>
                <w:rFonts w:ascii="Calibri" w:hAnsi="Calibri" w:cs="Calibri"/>
                <w:szCs w:val="24"/>
                <w:lang w:val="en-US"/>
              </w:rPr>
              <w:t xml:space="preserve"> with a residual maturity of one year or more that would qualify for a 35% or lower risk weight under </w:t>
            </w:r>
            <w:r w:rsidR="004234AF">
              <w:rPr>
                <w:rFonts w:ascii="Calibri" w:hAnsi="Calibri" w:cs="Calibri"/>
                <w:szCs w:val="24"/>
                <w:lang w:val="en-US"/>
              </w:rPr>
              <w:t xml:space="preserve">the </w:t>
            </w:r>
            <w:proofErr w:type="spellStart"/>
            <w:r w:rsidR="004234AF">
              <w:rPr>
                <w:rFonts w:ascii="Calibri" w:hAnsi="Calibri" w:cs="Calibri"/>
                <w:szCs w:val="24"/>
                <w:lang w:val="en-US"/>
              </w:rPr>
              <w:t>standardised</w:t>
            </w:r>
            <w:proofErr w:type="spellEnd"/>
            <w:r w:rsidR="004234AF">
              <w:rPr>
                <w:rFonts w:ascii="Calibri" w:hAnsi="Calibri" w:cs="Calibri"/>
                <w:szCs w:val="24"/>
                <w:lang w:val="en-US"/>
              </w:rPr>
              <w:t xml:space="preserve"> approach to credit risk.</w:t>
            </w:r>
          </w:p>
          <w:p w14:paraId="176785BA" w14:textId="77777777" w:rsidR="00222FC2" w:rsidRDefault="00222FC2" w:rsidP="00222FC2">
            <w:pPr>
              <w:contextualSpacing/>
            </w:pPr>
          </w:p>
        </w:tc>
      </w:tr>
      <w:tr w:rsidR="00222FC2" w14:paraId="463E7B0C" w14:textId="77777777" w:rsidTr="004F18B6">
        <w:trPr>
          <w:trHeight w:val="352"/>
        </w:trPr>
        <w:tc>
          <w:tcPr>
            <w:tcW w:w="988" w:type="dxa"/>
          </w:tcPr>
          <w:p w14:paraId="076CAE28" w14:textId="6608EB39" w:rsidR="00222FC2" w:rsidRPr="00E6642B" w:rsidRDefault="00E162A3" w:rsidP="00222FC2">
            <w:r>
              <w:t>RSF.1</w:t>
            </w:r>
            <w:r w:rsidR="00985E28">
              <w:t>1</w:t>
            </w:r>
          </w:p>
        </w:tc>
        <w:tc>
          <w:tcPr>
            <w:tcW w:w="7957" w:type="dxa"/>
          </w:tcPr>
          <w:p w14:paraId="264673B2" w14:textId="2CB740FE" w:rsidR="004234AF" w:rsidRDefault="004234AF" w:rsidP="006E454B">
            <w:pPr>
              <w:contextualSpacing/>
              <w:jc w:val="both"/>
              <w:rPr>
                <w:rFonts w:ascii="Calibri" w:hAnsi="Calibri" w:cs="Calibri"/>
                <w:b/>
                <w:bCs/>
                <w:szCs w:val="24"/>
                <w:lang w:val="en-US"/>
              </w:rPr>
            </w:pPr>
            <w:r>
              <w:rPr>
                <w:rFonts w:ascii="Calibri" w:hAnsi="Calibri" w:cs="Calibri"/>
                <w:b/>
                <w:bCs/>
                <w:szCs w:val="24"/>
                <w:lang w:val="en-US"/>
              </w:rPr>
              <w:t>O</w:t>
            </w:r>
            <w:r w:rsidRPr="004C6BA3">
              <w:rPr>
                <w:rFonts w:ascii="Calibri" w:hAnsi="Calibri" w:cs="Calibri"/>
                <w:b/>
                <w:bCs/>
                <w:szCs w:val="24"/>
                <w:lang w:val="en-US"/>
              </w:rPr>
              <w:t>ther unencumbered loans</w:t>
            </w:r>
            <w:r>
              <w:rPr>
                <w:rFonts w:ascii="Calibri" w:hAnsi="Calibri" w:cs="Calibri"/>
                <w:b/>
                <w:bCs/>
                <w:szCs w:val="24"/>
                <w:lang w:val="en-US"/>
              </w:rPr>
              <w:t xml:space="preserve"> </w:t>
            </w:r>
            <w:r w:rsidR="00B86D9C">
              <w:rPr>
                <w:rFonts w:ascii="Calibri" w:hAnsi="Calibri" w:cs="Calibri"/>
                <w:b/>
                <w:bCs/>
                <w:szCs w:val="24"/>
                <w:lang w:val="en-US"/>
              </w:rPr>
              <w:t xml:space="preserve">(excluding financial institutions) </w:t>
            </w:r>
            <w:r w:rsidR="006A7B3A">
              <w:rPr>
                <w:rFonts w:ascii="Calibri" w:hAnsi="Calibri" w:cs="Calibri"/>
                <w:b/>
                <w:bCs/>
                <w:szCs w:val="24"/>
                <w:lang w:val="en-US"/>
              </w:rPr>
              <w:t>≥</w:t>
            </w:r>
            <w:r w:rsidR="003B1C8E">
              <w:rPr>
                <w:rFonts w:ascii="Calibri" w:hAnsi="Calibri" w:cs="Calibri"/>
                <w:b/>
                <w:bCs/>
                <w:szCs w:val="24"/>
                <w:lang w:val="en-US"/>
              </w:rPr>
              <w:t>1-year</w:t>
            </w:r>
            <w:r w:rsidR="00B86D9C">
              <w:rPr>
                <w:rFonts w:ascii="Calibri" w:hAnsi="Calibri" w:cs="Calibri"/>
                <w:b/>
                <w:bCs/>
                <w:szCs w:val="24"/>
                <w:lang w:val="en-US"/>
              </w:rPr>
              <w:t xml:space="preserve"> </w:t>
            </w:r>
            <w:r w:rsidR="00200AAF">
              <w:rPr>
                <w:rFonts w:ascii="Calibri" w:hAnsi="Calibri" w:cs="Calibri"/>
                <w:b/>
                <w:bCs/>
                <w:szCs w:val="24"/>
                <w:lang w:val="en-US"/>
              </w:rPr>
              <w:t xml:space="preserve">residual maturity </w:t>
            </w:r>
            <w:r w:rsidR="00B86D9C">
              <w:rPr>
                <w:rFonts w:ascii="Calibri" w:hAnsi="Calibri" w:cs="Calibri"/>
                <w:b/>
                <w:bCs/>
                <w:szCs w:val="24"/>
                <w:lang w:val="en-US"/>
              </w:rPr>
              <w:t>(</w:t>
            </w:r>
            <w:r>
              <w:rPr>
                <w:rFonts w:ascii="Calibri" w:hAnsi="Calibri" w:cs="Calibri"/>
                <w:b/>
                <w:bCs/>
                <w:szCs w:val="24"/>
                <w:lang w:val="en-US"/>
              </w:rPr>
              <w:t xml:space="preserve">Risk Weight </w:t>
            </w:r>
            <w:r w:rsidR="00200AAF">
              <w:rPr>
                <w:rFonts w:ascii="Calibri" w:hAnsi="Calibri" w:cs="Calibri"/>
                <w:b/>
                <w:bCs/>
                <w:szCs w:val="24"/>
                <w:lang w:val="en-US"/>
              </w:rPr>
              <w:t>≤</w:t>
            </w:r>
            <w:r>
              <w:rPr>
                <w:rFonts w:ascii="Calibri" w:hAnsi="Calibri" w:cs="Calibri"/>
                <w:b/>
                <w:bCs/>
                <w:szCs w:val="24"/>
                <w:lang w:val="en-US"/>
              </w:rPr>
              <w:t>35%</w:t>
            </w:r>
            <w:r w:rsidR="00B86D9C">
              <w:rPr>
                <w:rFonts w:ascii="Calibri" w:hAnsi="Calibri" w:cs="Calibri"/>
                <w:b/>
                <w:bCs/>
                <w:szCs w:val="24"/>
                <w:lang w:val="en-US"/>
              </w:rPr>
              <w:t>)</w:t>
            </w:r>
            <w:r>
              <w:rPr>
                <w:rFonts w:ascii="Calibri" w:hAnsi="Calibri" w:cs="Calibri"/>
                <w:b/>
                <w:bCs/>
                <w:szCs w:val="24"/>
                <w:lang w:val="en-US"/>
              </w:rPr>
              <w:t xml:space="preserve"> (65% RSF factor)</w:t>
            </w:r>
          </w:p>
          <w:p w14:paraId="3118FC3F" w14:textId="109771E5" w:rsidR="004234AF" w:rsidRDefault="006A7B3A" w:rsidP="006E454B">
            <w:pPr>
              <w:contextualSpacing/>
              <w:jc w:val="both"/>
              <w:rPr>
                <w:rFonts w:ascii="Calibri" w:hAnsi="Calibri" w:cs="Calibri"/>
                <w:szCs w:val="24"/>
                <w:lang w:val="en-US"/>
              </w:rPr>
            </w:pPr>
            <w:r>
              <w:rPr>
                <w:rFonts w:ascii="Calibri" w:hAnsi="Calibri" w:cs="Calibri"/>
                <w:szCs w:val="24"/>
                <w:lang w:val="en-US"/>
              </w:rPr>
              <w:t xml:space="preserve">Report </w:t>
            </w:r>
            <w:r w:rsidR="00B86D9C">
              <w:rPr>
                <w:rFonts w:ascii="Calibri" w:hAnsi="Calibri" w:cs="Calibri"/>
                <w:szCs w:val="24"/>
                <w:lang w:val="en-US"/>
              </w:rPr>
              <w:t>all o</w:t>
            </w:r>
            <w:r w:rsidR="004234AF" w:rsidRPr="004C6BA3">
              <w:rPr>
                <w:rFonts w:ascii="Calibri" w:hAnsi="Calibri" w:cs="Calibri"/>
                <w:szCs w:val="24"/>
                <w:lang w:val="en-US"/>
              </w:rPr>
              <w:t>ther unencumbered loans</w:t>
            </w:r>
            <w:r w:rsidR="006E454B">
              <w:rPr>
                <w:rFonts w:ascii="Calibri" w:hAnsi="Calibri" w:cs="Calibri"/>
                <w:szCs w:val="24"/>
                <w:lang w:val="en-US"/>
              </w:rPr>
              <w:t xml:space="preserve"> (except loans to financial institutions)</w:t>
            </w:r>
            <w:r w:rsidR="004234AF" w:rsidRPr="004C6BA3">
              <w:rPr>
                <w:rFonts w:ascii="Calibri" w:hAnsi="Calibri" w:cs="Calibri"/>
                <w:szCs w:val="24"/>
                <w:lang w:val="en-US"/>
              </w:rPr>
              <w:t xml:space="preserve">, not included in the above </w:t>
            </w:r>
            <w:r w:rsidR="006E454B">
              <w:rPr>
                <w:rFonts w:ascii="Calibri" w:hAnsi="Calibri" w:cs="Calibri"/>
                <w:szCs w:val="24"/>
                <w:lang w:val="en-US"/>
              </w:rPr>
              <w:t xml:space="preserve">RSF </w:t>
            </w:r>
            <w:r w:rsidR="004234AF" w:rsidRPr="004C6BA3">
              <w:rPr>
                <w:rFonts w:ascii="Calibri" w:hAnsi="Calibri" w:cs="Calibri"/>
                <w:szCs w:val="24"/>
                <w:lang w:val="en-US"/>
              </w:rPr>
              <w:t>categories</w:t>
            </w:r>
            <w:r w:rsidR="00B86D9C">
              <w:rPr>
                <w:rFonts w:ascii="Calibri" w:hAnsi="Calibri" w:cs="Calibri"/>
                <w:szCs w:val="24"/>
                <w:lang w:val="en-US"/>
              </w:rPr>
              <w:t xml:space="preserve">, with a residual maturity of one year or more that would qualify for a </w:t>
            </w:r>
            <w:r w:rsidR="00B86D9C" w:rsidRPr="004C6BA3">
              <w:rPr>
                <w:rFonts w:ascii="Calibri" w:hAnsi="Calibri" w:cs="Calibri"/>
                <w:szCs w:val="24"/>
                <w:lang w:val="en-US"/>
              </w:rPr>
              <w:t xml:space="preserve">35% or lower risk weight under </w:t>
            </w:r>
            <w:r w:rsidR="00B86D9C">
              <w:rPr>
                <w:rFonts w:ascii="Calibri" w:hAnsi="Calibri" w:cs="Calibri"/>
                <w:szCs w:val="24"/>
                <w:lang w:val="en-US"/>
              </w:rPr>
              <w:t xml:space="preserve">the </w:t>
            </w:r>
            <w:proofErr w:type="spellStart"/>
            <w:r w:rsidR="00B86D9C">
              <w:rPr>
                <w:rFonts w:ascii="Calibri" w:hAnsi="Calibri" w:cs="Calibri"/>
                <w:szCs w:val="24"/>
                <w:lang w:val="en-US"/>
              </w:rPr>
              <w:t>standardised</w:t>
            </w:r>
            <w:proofErr w:type="spellEnd"/>
            <w:r w:rsidR="00B86D9C">
              <w:rPr>
                <w:rFonts w:ascii="Calibri" w:hAnsi="Calibri" w:cs="Calibri"/>
                <w:szCs w:val="24"/>
                <w:lang w:val="en-US"/>
              </w:rPr>
              <w:t xml:space="preserve"> approach to credit risk.</w:t>
            </w:r>
          </w:p>
          <w:p w14:paraId="421A5B52" w14:textId="77777777" w:rsidR="006E454B" w:rsidRDefault="006E454B" w:rsidP="006E454B">
            <w:pPr>
              <w:contextualSpacing/>
              <w:jc w:val="both"/>
              <w:rPr>
                <w:rFonts w:ascii="Calibri" w:hAnsi="Calibri" w:cs="Calibri"/>
                <w:szCs w:val="24"/>
                <w:lang w:val="en-US"/>
              </w:rPr>
            </w:pPr>
          </w:p>
          <w:p w14:paraId="250B6C34" w14:textId="7BA4CDE7" w:rsidR="004234AF" w:rsidRPr="004C6BA3" w:rsidRDefault="006E454B" w:rsidP="006E454B">
            <w:pPr>
              <w:contextualSpacing/>
              <w:jc w:val="both"/>
              <w:rPr>
                <w:rFonts w:ascii="Calibri" w:hAnsi="Calibri" w:cs="Calibri"/>
                <w:szCs w:val="24"/>
                <w:lang w:val="en-US"/>
              </w:rPr>
            </w:pPr>
            <w:r>
              <w:rPr>
                <w:rFonts w:ascii="Calibri" w:hAnsi="Calibri" w:cs="Calibri"/>
                <w:szCs w:val="24"/>
                <w:lang w:val="en-US"/>
              </w:rPr>
              <w:t>For example, this may include</w:t>
            </w:r>
            <w:r w:rsidR="004234AF" w:rsidRPr="004C6BA3">
              <w:rPr>
                <w:rFonts w:ascii="Calibri" w:hAnsi="Calibri" w:cs="Calibri"/>
                <w:szCs w:val="24"/>
                <w:lang w:val="en-US"/>
              </w:rPr>
              <w:t xml:space="preserve"> loans to sovereigns, </w:t>
            </w:r>
            <w:r w:rsidR="00B86D9C">
              <w:rPr>
                <w:rFonts w:ascii="Calibri" w:hAnsi="Calibri" w:cs="Calibri"/>
                <w:szCs w:val="24"/>
                <w:lang w:val="en-US"/>
              </w:rPr>
              <w:t xml:space="preserve">PSEs and </w:t>
            </w:r>
            <w:r w:rsidR="004234AF">
              <w:rPr>
                <w:rFonts w:ascii="Calibri" w:hAnsi="Calibri" w:cs="Calibri"/>
                <w:szCs w:val="24"/>
                <w:lang w:val="en-US"/>
              </w:rPr>
              <w:t>eligible MDBs</w:t>
            </w:r>
            <w:r>
              <w:rPr>
                <w:rFonts w:ascii="Calibri" w:hAnsi="Calibri" w:cs="Calibri"/>
                <w:szCs w:val="24"/>
                <w:lang w:val="en-US"/>
              </w:rPr>
              <w:t xml:space="preserve"> not covered elsewhere.</w:t>
            </w:r>
            <w:r w:rsidR="00855BF3">
              <w:rPr>
                <w:rFonts w:ascii="Calibri" w:hAnsi="Calibri" w:cs="Calibri"/>
                <w:szCs w:val="24"/>
                <w:lang w:val="en-US"/>
              </w:rPr>
              <w:t xml:space="preserve">  </w:t>
            </w:r>
          </w:p>
          <w:p w14:paraId="04798DB8" w14:textId="77777777" w:rsidR="00222FC2" w:rsidRDefault="00222FC2" w:rsidP="00222FC2">
            <w:pPr>
              <w:contextualSpacing/>
              <w:jc w:val="both"/>
            </w:pPr>
          </w:p>
        </w:tc>
      </w:tr>
      <w:tr w:rsidR="006D685B" w14:paraId="449D7B3D" w14:textId="77777777" w:rsidTr="004F18B6">
        <w:trPr>
          <w:trHeight w:val="352"/>
        </w:trPr>
        <w:tc>
          <w:tcPr>
            <w:tcW w:w="988" w:type="dxa"/>
          </w:tcPr>
          <w:p w14:paraId="5EEE7CD6" w14:textId="25D53851" w:rsidR="006D685B" w:rsidRPr="00E6642B" w:rsidRDefault="00E162A3" w:rsidP="00222FC2">
            <w:r>
              <w:t>RSF.1</w:t>
            </w:r>
            <w:r w:rsidR="00985E28">
              <w:t>2</w:t>
            </w:r>
          </w:p>
        </w:tc>
        <w:tc>
          <w:tcPr>
            <w:tcW w:w="7957" w:type="dxa"/>
          </w:tcPr>
          <w:p w14:paraId="257B20F4" w14:textId="419C9D49" w:rsidR="004F06AC" w:rsidRPr="004F06AC" w:rsidRDefault="004F06AC" w:rsidP="004F06AC">
            <w:pPr>
              <w:contextualSpacing/>
              <w:rPr>
                <w:rFonts w:ascii="Calibri" w:hAnsi="Calibri" w:cs="Calibri"/>
                <w:b/>
                <w:bCs/>
                <w:szCs w:val="24"/>
              </w:rPr>
            </w:pPr>
            <w:r>
              <w:rPr>
                <w:rFonts w:ascii="Calibri" w:hAnsi="Calibri" w:cs="Calibri"/>
                <w:b/>
                <w:bCs/>
                <w:szCs w:val="24"/>
              </w:rPr>
              <w:t>Margin provided (85% RSF factor)</w:t>
            </w:r>
          </w:p>
          <w:p w14:paraId="43589437" w14:textId="7FDE496C" w:rsidR="004F06AC" w:rsidRDefault="00200AAF" w:rsidP="004F06AC">
            <w:pPr>
              <w:contextualSpacing/>
              <w:jc w:val="both"/>
              <w:rPr>
                <w:rFonts w:ascii="Calibri" w:hAnsi="Calibri" w:cs="Calibri"/>
                <w:szCs w:val="24"/>
                <w:lang w:val="en-US"/>
              </w:rPr>
            </w:pPr>
            <w:r>
              <w:rPr>
                <w:rFonts w:ascii="Calibri" w:hAnsi="Calibri" w:cs="Calibri"/>
                <w:szCs w:val="24"/>
                <w:lang w:val="en-US"/>
              </w:rPr>
              <w:t>Report</w:t>
            </w:r>
            <w:r w:rsidR="004F06AC">
              <w:rPr>
                <w:rFonts w:ascii="Calibri" w:hAnsi="Calibri" w:cs="Calibri"/>
                <w:szCs w:val="24"/>
                <w:lang w:val="en-US"/>
              </w:rPr>
              <w:t xml:space="preserve"> c</w:t>
            </w:r>
            <w:r w:rsidR="004F06AC" w:rsidRPr="004719B6">
              <w:rPr>
                <w:rFonts w:ascii="Calibri" w:hAnsi="Calibri" w:cs="Calibri"/>
                <w:szCs w:val="24"/>
                <w:lang w:val="en-US"/>
              </w:rPr>
              <w:t>ash, securities or other assets posted as initial margin for derivative contracts</w:t>
            </w:r>
            <w:r w:rsidR="004F06AC">
              <w:rPr>
                <w:rFonts w:ascii="Calibri" w:hAnsi="Calibri" w:cs="Calibri"/>
                <w:szCs w:val="24"/>
                <w:lang w:val="en-US"/>
              </w:rPr>
              <w:t xml:space="preserve"> or provided</w:t>
            </w:r>
            <w:r w:rsidR="004F06AC" w:rsidRPr="004719B6">
              <w:rPr>
                <w:rFonts w:ascii="Calibri" w:hAnsi="Calibri" w:cs="Calibri"/>
                <w:szCs w:val="24"/>
                <w:lang w:val="en-US"/>
              </w:rPr>
              <w:t xml:space="preserve"> to contribute to the default fund of a central counterparty (CCP)</w:t>
            </w:r>
            <w:r w:rsidR="004F06AC">
              <w:rPr>
                <w:rFonts w:ascii="Calibri" w:hAnsi="Calibri" w:cs="Calibri"/>
                <w:szCs w:val="24"/>
                <w:lang w:val="en-US"/>
              </w:rPr>
              <w:t>. This is</w:t>
            </w:r>
            <w:r w:rsidR="004F06AC" w:rsidRPr="004719B6">
              <w:rPr>
                <w:rFonts w:ascii="Calibri" w:hAnsi="Calibri" w:cs="Calibri"/>
                <w:szCs w:val="24"/>
                <w:lang w:val="en-US"/>
              </w:rPr>
              <w:t xml:space="preserve"> regardless of whether recorded on or of</w:t>
            </w:r>
            <w:r w:rsidR="00513B21">
              <w:rPr>
                <w:rFonts w:ascii="Calibri" w:hAnsi="Calibri" w:cs="Calibri"/>
                <w:szCs w:val="24"/>
                <w:lang w:val="en-US"/>
              </w:rPr>
              <w:t>f</w:t>
            </w:r>
            <w:r w:rsidR="004F06AC" w:rsidRPr="004719B6">
              <w:rPr>
                <w:rFonts w:ascii="Calibri" w:hAnsi="Calibri" w:cs="Calibri"/>
                <w:szCs w:val="24"/>
                <w:lang w:val="en-US"/>
              </w:rPr>
              <w:t xml:space="preserve"> the balance sheet.</w:t>
            </w:r>
          </w:p>
          <w:p w14:paraId="383ADA8D" w14:textId="77777777" w:rsidR="004F06AC" w:rsidRDefault="004F06AC" w:rsidP="004F06AC">
            <w:pPr>
              <w:contextualSpacing/>
              <w:rPr>
                <w:rFonts w:ascii="Calibri" w:hAnsi="Calibri" w:cs="Calibri"/>
                <w:szCs w:val="24"/>
                <w:lang w:val="en-US"/>
              </w:rPr>
            </w:pPr>
          </w:p>
          <w:p w14:paraId="44DF122A" w14:textId="77777777" w:rsidR="004F06AC" w:rsidRDefault="004F06AC" w:rsidP="004F06AC">
            <w:pPr>
              <w:contextualSpacing/>
              <w:jc w:val="both"/>
              <w:rPr>
                <w:rFonts w:ascii="Calibri" w:hAnsi="Calibri" w:cs="Calibri"/>
                <w:szCs w:val="24"/>
                <w:lang w:val="en-US"/>
              </w:rPr>
            </w:pPr>
            <w:r w:rsidRPr="004719B6">
              <w:rPr>
                <w:rFonts w:ascii="Calibri" w:hAnsi="Calibri" w:cs="Calibri"/>
                <w:szCs w:val="24"/>
                <w:lang w:val="en-US"/>
              </w:rPr>
              <w:lastRenderedPageBreak/>
              <w:t>Where securities or other assets posted as initial margin for derivative contracts would otherwise receive a higher RSF factor, they should retain that higher factor.</w:t>
            </w:r>
          </w:p>
          <w:p w14:paraId="3CC89EEA" w14:textId="77777777" w:rsidR="004F06AC" w:rsidRDefault="004F06AC" w:rsidP="004F06AC">
            <w:pPr>
              <w:contextualSpacing/>
              <w:rPr>
                <w:rFonts w:ascii="Calibri" w:hAnsi="Calibri" w:cs="Calibri"/>
                <w:szCs w:val="24"/>
                <w:lang w:val="en-US"/>
              </w:rPr>
            </w:pPr>
          </w:p>
          <w:p w14:paraId="77853FAF" w14:textId="77777777" w:rsidR="004F06AC" w:rsidRPr="00CC3439" w:rsidRDefault="004F06AC" w:rsidP="004F06AC">
            <w:pPr>
              <w:contextualSpacing/>
              <w:jc w:val="both"/>
              <w:rPr>
                <w:rFonts w:ascii="Calibri" w:hAnsi="Calibri" w:cs="Calibri"/>
                <w:i/>
                <w:iCs/>
                <w:szCs w:val="24"/>
                <w:lang w:val="en-US"/>
              </w:rPr>
            </w:pPr>
            <w:r w:rsidRPr="004F06AC">
              <w:rPr>
                <w:rFonts w:ascii="Calibri" w:hAnsi="Calibri" w:cs="Calibri"/>
                <w:i/>
                <w:iCs/>
                <w:szCs w:val="24"/>
                <w:lang w:val="en-US"/>
              </w:rPr>
              <w:t>Note: Initial margin posted on behalf of a customer, where the bank provided a customer access to a third party (e.g. a CCP) for the purpose of clearing derivatives, where the transactions are executed in the name of the customer and the bank does not guarantee performance of the third party (e.g. the CCP), maybe exempt from this requirement.</w:t>
            </w:r>
          </w:p>
          <w:p w14:paraId="7E37FACD" w14:textId="77777777" w:rsidR="004F06AC" w:rsidRDefault="004F06AC" w:rsidP="003B1C8E">
            <w:pPr>
              <w:contextualSpacing/>
            </w:pPr>
          </w:p>
        </w:tc>
      </w:tr>
      <w:tr w:rsidR="006D685B" w14:paraId="07F963F6" w14:textId="77777777" w:rsidTr="004F18B6">
        <w:trPr>
          <w:trHeight w:val="352"/>
        </w:trPr>
        <w:tc>
          <w:tcPr>
            <w:tcW w:w="988" w:type="dxa"/>
          </w:tcPr>
          <w:p w14:paraId="710CF919" w14:textId="5EE884F9" w:rsidR="006D685B" w:rsidRPr="00E6642B" w:rsidRDefault="00E162A3" w:rsidP="00222FC2">
            <w:r>
              <w:lastRenderedPageBreak/>
              <w:t>RSF.1</w:t>
            </w:r>
            <w:r w:rsidR="00985E28">
              <w:t>3</w:t>
            </w:r>
          </w:p>
        </w:tc>
        <w:tc>
          <w:tcPr>
            <w:tcW w:w="7957" w:type="dxa"/>
          </w:tcPr>
          <w:p w14:paraId="24D15DB1" w14:textId="376E516D" w:rsidR="004F06AC" w:rsidRDefault="004F06AC" w:rsidP="004F06AC">
            <w:pPr>
              <w:contextualSpacing/>
              <w:jc w:val="both"/>
              <w:rPr>
                <w:rFonts w:ascii="Calibri" w:hAnsi="Calibri" w:cs="Calibri"/>
                <w:b/>
                <w:bCs/>
                <w:szCs w:val="24"/>
                <w:lang w:val="en-US"/>
              </w:rPr>
            </w:pPr>
            <w:r>
              <w:rPr>
                <w:rFonts w:ascii="Calibri" w:hAnsi="Calibri" w:cs="Calibri"/>
                <w:b/>
                <w:bCs/>
                <w:szCs w:val="24"/>
                <w:lang w:val="en-US"/>
              </w:rPr>
              <w:t>O</w:t>
            </w:r>
            <w:r w:rsidRPr="004C6BA3">
              <w:rPr>
                <w:rFonts w:ascii="Calibri" w:hAnsi="Calibri" w:cs="Calibri"/>
                <w:b/>
                <w:bCs/>
                <w:szCs w:val="24"/>
                <w:lang w:val="en-US"/>
              </w:rPr>
              <w:t>ther unencumbered loans</w:t>
            </w:r>
            <w:r>
              <w:rPr>
                <w:rFonts w:ascii="Calibri" w:hAnsi="Calibri" w:cs="Calibri"/>
                <w:b/>
                <w:bCs/>
                <w:szCs w:val="24"/>
                <w:lang w:val="en-US"/>
              </w:rPr>
              <w:t xml:space="preserve"> (excluding financial institutions) </w:t>
            </w:r>
            <w:r w:rsidR="00897B65">
              <w:rPr>
                <w:rFonts w:ascii="Calibri" w:hAnsi="Calibri" w:cs="Calibri"/>
                <w:b/>
                <w:bCs/>
                <w:szCs w:val="24"/>
                <w:lang w:val="en-US"/>
              </w:rPr>
              <w:t>≥</w:t>
            </w:r>
            <w:r w:rsidR="0083739B">
              <w:rPr>
                <w:rFonts w:ascii="Calibri" w:hAnsi="Calibri" w:cs="Calibri"/>
                <w:b/>
                <w:bCs/>
                <w:szCs w:val="24"/>
                <w:lang w:val="en-US"/>
              </w:rPr>
              <w:t>1-year</w:t>
            </w:r>
            <w:r>
              <w:rPr>
                <w:rFonts w:ascii="Calibri" w:hAnsi="Calibri" w:cs="Calibri"/>
                <w:b/>
                <w:bCs/>
                <w:szCs w:val="24"/>
                <w:lang w:val="en-US"/>
              </w:rPr>
              <w:t xml:space="preserve"> </w:t>
            </w:r>
            <w:r w:rsidR="00897B65">
              <w:rPr>
                <w:rFonts w:ascii="Calibri" w:hAnsi="Calibri" w:cs="Calibri"/>
                <w:b/>
                <w:bCs/>
                <w:szCs w:val="24"/>
                <w:lang w:val="en-US"/>
              </w:rPr>
              <w:t xml:space="preserve">residual maturity </w:t>
            </w:r>
            <w:r>
              <w:rPr>
                <w:rFonts w:ascii="Calibri" w:hAnsi="Calibri" w:cs="Calibri"/>
                <w:b/>
                <w:bCs/>
                <w:szCs w:val="24"/>
                <w:lang w:val="en-US"/>
              </w:rPr>
              <w:t xml:space="preserve">(Risk Weight </w:t>
            </w:r>
            <w:r w:rsidR="00D965FE">
              <w:rPr>
                <w:rFonts w:ascii="Calibri" w:hAnsi="Calibri" w:cs="Calibri"/>
                <w:b/>
                <w:bCs/>
                <w:szCs w:val="24"/>
                <w:lang w:val="en-US"/>
              </w:rPr>
              <w:t>&gt;</w:t>
            </w:r>
            <w:r>
              <w:rPr>
                <w:rFonts w:ascii="Calibri" w:hAnsi="Calibri" w:cs="Calibri"/>
                <w:b/>
                <w:bCs/>
                <w:szCs w:val="24"/>
                <w:lang w:val="en-US"/>
              </w:rPr>
              <w:t>35%) (</w:t>
            </w:r>
            <w:r w:rsidR="00D965FE">
              <w:rPr>
                <w:rFonts w:ascii="Calibri" w:hAnsi="Calibri" w:cs="Calibri"/>
                <w:b/>
                <w:bCs/>
                <w:szCs w:val="24"/>
                <w:lang w:val="en-US"/>
              </w:rPr>
              <w:t>8</w:t>
            </w:r>
            <w:r>
              <w:rPr>
                <w:rFonts w:ascii="Calibri" w:hAnsi="Calibri" w:cs="Calibri"/>
                <w:b/>
                <w:bCs/>
                <w:szCs w:val="24"/>
                <w:lang w:val="en-US"/>
              </w:rPr>
              <w:t>5% RSF factor)</w:t>
            </w:r>
          </w:p>
          <w:p w14:paraId="4B02E9BC" w14:textId="3C2FA4EC" w:rsidR="00D965FE" w:rsidRDefault="00D965FE" w:rsidP="00D965FE">
            <w:pPr>
              <w:contextualSpacing/>
              <w:jc w:val="both"/>
              <w:rPr>
                <w:rFonts w:ascii="Calibri" w:hAnsi="Calibri" w:cs="Calibri"/>
                <w:szCs w:val="24"/>
                <w:lang w:val="en-US"/>
              </w:rPr>
            </w:pPr>
            <w:r>
              <w:rPr>
                <w:rFonts w:ascii="Calibri" w:hAnsi="Calibri" w:cs="Calibri"/>
                <w:szCs w:val="24"/>
                <w:lang w:val="en-US"/>
              </w:rPr>
              <w:t>Include all o</w:t>
            </w:r>
            <w:r w:rsidRPr="004C6BA3">
              <w:rPr>
                <w:rFonts w:ascii="Calibri" w:hAnsi="Calibri" w:cs="Calibri"/>
                <w:szCs w:val="24"/>
                <w:lang w:val="en-US"/>
              </w:rPr>
              <w:t xml:space="preserve">ther </w:t>
            </w:r>
            <w:r w:rsidRPr="00D965FE">
              <w:rPr>
                <w:rFonts w:ascii="Calibri" w:hAnsi="Calibri" w:cs="Calibri"/>
                <w:szCs w:val="24"/>
                <w:u w:val="single"/>
                <w:lang w:val="en-US"/>
              </w:rPr>
              <w:t>unencumbered performing loans</w:t>
            </w:r>
            <w:r>
              <w:rPr>
                <w:rFonts w:ascii="Calibri" w:hAnsi="Calibri" w:cs="Calibri"/>
                <w:szCs w:val="24"/>
                <w:lang w:val="en-US"/>
              </w:rPr>
              <w:t xml:space="preserve"> (except loans to financial institutions)</w:t>
            </w:r>
            <w:r w:rsidRPr="004C6BA3">
              <w:rPr>
                <w:rFonts w:ascii="Calibri" w:hAnsi="Calibri" w:cs="Calibri"/>
                <w:szCs w:val="24"/>
                <w:lang w:val="en-US"/>
              </w:rPr>
              <w:t xml:space="preserve"> </w:t>
            </w:r>
            <w:r>
              <w:rPr>
                <w:rFonts w:ascii="Calibri" w:hAnsi="Calibri" w:cs="Calibri"/>
                <w:szCs w:val="24"/>
                <w:lang w:val="en-US"/>
              </w:rPr>
              <w:t xml:space="preserve">with a residual maturity of one year </w:t>
            </w:r>
            <w:r w:rsidR="00BB5736">
              <w:rPr>
                <w:rFonts w:ascii="Calibri" w:hAnsi="Calibri" w:cs="Calibri"/>
                <w:szCs w:val="24"/>
                <w:lang w:val="en-US"/>
              </w:rPr>
              <w:t xml:space="preserve">or more </w:t>
            </w:r>
            <w:r>
              <w:rPr>
                <w:rFonts w:ascii="Calibri" w:hAnsi="Calibri" w:cs="Calibri"/>
                <w:szCs w:val="24"/>
                <w:lang w:val="en-US"/>
              </w:rPr>
              <w:t xml:space="preserve">that </w:t>
            </w:r>
            <w:r w:rsidRPr="00D965FE">
              <w:rPr>
                <w:rFonts w:ascii="Calibri" w:hAnsi="Calibri" w:cs="Calibri"/>
                <w:szCs w:val="24"/>
                <w:u w:val="single"/>
                <w:lang w:val="en-US"/>
              </w:rPr>
              <w:t>do not qualify</w:t>
            </w:r>
            <w:r>
              <w:rPr>
                <w:rFonts w:ascii="Calibri" w:hAnsi="Calibri" w:cs="Calibri"/>
                <w:szCs w:val="24"/>
                <w:lang w:val="en-US"/>
              </w:rPr>
              <w:t xml:space="preserve"> for the 35% or lower risk weight </w:t>
            </w:r>
            <w:r w:rsidRPr="004C6BA3">
              <w:rPr>
                <w:rFonts w:ascii="Calibri" w:hAnsi="Calibri" w:cs="Calibri"/>
                <w:szCs w:val="24"/>
                <w:lang w:val="en-US"/>
              </w:rPr>
              <w:t xml:space="preserve">under </w:t>
            </w:r>
            <w:r>
              <w:rPr>
                <w:rFonts w:ascii="Calibri" w:hAnsi="Calibri" w:cs="Calibri"/>
                <w:szCs w:val="24"/>
                <w:lang w:val="en-US"/>
              </w:rPr>
              <w:t xml:space="preserve">the </w:t>
            </w:r>
            <w:proofErr w:type="spellStart"/>
            <w:r>
              <w:rPr>
                <w:rFonts w:ascii="Calibri" w:hAnsi="Calibri" w:cs="Calibri"/>
                <w:szCs w:val="24"/>
                <w:lang w:val="en-US"/>
              </w:rPr>
              <w:t>standardised</w:t>
            </w:r>
            <w:proofErr w:type="spellEnd"/>
            <w:r>
              <w:rPr>
                <w:rFonts w:ascii="Calibri" w:hAnsi="Calibri" w:cs="Calibri"/>
                <w:szCs w:val="24"/>
                <w:lang w:val="en-US"/>
              </w:rPr>
              <w:t xml:space="preserve"> approach to credit risk.</w:t>
            </w:r>
          </w:p>
          <w:p w14:paraId="6C6D9D19" w14:textId="77777777" w:rsidR="00D965FE" w:rsidRDefault="00D965FE" w:rsidP="00D965FE">
            <w:pPr>
              <w:contextualSpacing/>
              <w:jc w:val="both"/>
              <w:rPr>
                <w:rFonts w:ascii="Calibri" w:hAnsi="Calibri" w:cs="Calibri"/>
                <w:szCs w:val="24"/>
                <w:lang w:val="en-US"/>
              </w:rPr>
            </w:pPr>
          </w:p>
          <w:p w14:paraId="51A282B9" w14:textId="123EE11D" w:rsidR="00D965FE" w:rsidRPr="00086970" w:rsidRDefault="00D965FE" w:rsidP="00D965FE">
            <w:pPr>
              <w:contextualSpacing/>
              <w:rPr>
                <w:rFonts w:ascii="Calibri" w:hAnsi="Calibri" w:cs="Calibri"/>
                <w:i/>
                <w:iCs/>
                <w:szCs w:val="24"/>
              </w:rPr>
            </w:pPr>
            <w:r>
              <w:rPr>
                <w:rFonts w:ascii="Calibri" w:hAnsi="Calibri" w:cs="Calibri"/>
                <w:i/>
                <w:iCs/>
                <w:szCs w:val="24"/>
              </w:rPr>
              <w:t>Note:</w:t>
            </w:r>
            <w:r w:rsidRPr="00086970">
              <w:rPr>
                <w:lang w:val="en-US"/>
              </w:rPr>
              <w:t xml:space="preserve"> </w:t>
            </w:r>
            <w:r>
              <w:rPr>
                <w:lang w:val="en-US"/>
              </w:rPr>
              <w:t>p</w:t>
            </w:r>
            <w:r w:rsidRPr="00086970">
              <w:rPr>
                <w:rFonts w:ascii="Calibri" w:hAnsi="Calibri" w:cs="Calibri"/>
                <w:i/>
                <w:iCs/>
                <w:szCs w:val="24"/>
                <w:lang w:val="en-US"/>
              </w:rPr>
              <w:t>erforming loans are those that are not past due for more than 90 days or otherwise classif</w:t>
            </w:r>
            <w:r>
              <w:rPr>
                <w:rFonts w:ascii="Calibri" w:hAnsi="Calibri" w:cs="Calibri"/>
                <w:i/>
                <w:iCs/>
                <w:szCs w:val="24"/>
                <w:lang w:val="en-US"/>
              </w:rPr>
              <w:t>i</w:t>
            </w:r>
            <w:r w:rsidRPr="00086970">
              <w:rPr>
                <w:rFonts w:ascii="Calibri" w:hAnsi="Calibri" w:cs="Calibri"/>
                <w:i/>
                <w:iCs/>
                <w:szCs w:val="24"/>
                <w:lang w:val="en-US"/>
              </w:rPr>
              <w:t>ed as a defaulted exposure</w:t>
            </w:r>
            <w:r>
              <w:rPr>
                <w:rFonts w:ascii="Calibri" w:hAnsi="Calibri" w:cs="Calibri"/>
                <w:i/>
                <w:iCs/>
                <w:szCs w:val="24"/>
                <w:lang w:val="en-US"/>
              </w:rPr>
              <w:t>.</w:t>
            </w:r>
          </w:p>
          <w:p w14:paraId="19BD2321" w14:textId="77777777" w:rsidR="004F06AC" w:rsidRDefault="004F06AC" w:rsidP="00D965FE">
            <w:pPr>
              <w:contextualSpacing/>
              <w:jc w:val="both"/>
            </w:pPr>
          </w:p>
        </w:tc>
      </w:tr>
      <w:tr w:rsidR="006D685B" w14:paraId="36F215D1" w14:textId="77777777" w:rsidTr="004F18B6">
        <w:trPr>
          <w:trHeight w:val="352"/>
        </w:trPr>
        <w:tc>
          <w:tcPr>
            <w:tcW w:w="988" w:type="dxa"/>
          </w:tcPr>
          <w:p w14:paraId="622D5633" w14:textId="5E6DBE81" w:rsidR="006D685B" w:rsidRPr="00E6642B" w:rsidRDefault="006E454B" w:rsidP="00222FC2">
            <w:r>
              <w:t>RSF.1</w:t>
            </w:r>
            <w:r w:rsidR="00985E28">
              <w:t>4</w:t>
            </w:r>
          </w:p>
        </w:tc>
        <w:tc>
          <w:tcPr>
            <w:tcW w:w="7957" w:type="dxa"/>
          </w:tcPr>
          <w:p w14:paraId="47270F9F" w14:textId="35B74DDA" w:rsidR="006D685B" w:rsidRDefault="004F06AC" w:rsidP="00222FC2">
            <w:pPr>
              <w:contextualSpacing/>
              <w:jc w:val="both"/>
              <w:rPr>
                <w:b/>
                <w:bCs/>
              </w:rPr>
            </w:pPr>
            <w:r w:rsidRPr="004F06AC">
              <w:rPr>
                <w:b/>
                <w:bCs/>
              </w:rPr>
              <w:t>Unencumbered securities and physical traded commodities</w:t>
            </w:r>
            <w:r>
              <w:rPr>
                <w:b/>
                <w:bCs/>
              </w:rPr>
              <w:t xml:space="preserve"> (85% RSF factor)</w:t>
            </w:r>
          </w:p>
          <w:p w14:paraId="01B16A08" w14:textId="40A2A52C" w:rsidR="004F06AC" w:rsidRDefault="004F06AC" w:rsidP="004F06AC">
            <w:pPr>
              <w:contextualSpacing/>
              <w:rPr>
                <w:rFonts w:ascii="Calibri" w:hAnsi="Calibri" w:cs="Calibri"/>
                <w:szCs w:val="24"/>
              </w:rPr>
            </w:pPr>
            <w:r>
              <w:rPr>
                <w:rFonts w:ascii="Calibri" w:hAnsi="Calibri" w:cs="Calibri"/>
                <w:szCs w:val="24"/>
              </w:rPr>
              <w:t>Include here:</w:t>
            </w:r>
          </w:p>
          <w:p w14:paraId="056E1E2B" w14:textId="3CBC519F" w:rsidR="004F06AC" w:rsidRDefault="004F06AC" w:rsidP="004F06AC">
            <w:pPr>
              <w:pStyle w:val="ListParagraph"/>
              <w:numPr>
                <w:ilvl w:val="0"/>
                <w:numId w:val="111"/>
              </w:numPr>
              <w:rPr>
                <w:rFonts w:ascii="Calibri" w:hAnsi="Calibri" w:cs="Calibri"/>
                <w:szCs w:val="24"/>
              </w:rPr>
            </w:pPr>
            <w:r w:rsidRPr="004F06AC">
              <w:rPr>
                <w:rFonts w:ascii="Calibri" w:hAnsi="Calibri" w:cs="Calibri"/>
                <w:szCs w:val="24"/>
              </w:rPr>
              <w:t xml:space="preserve">unencumbered securities with a remaining maturity of one year or more and exchange-traded equities, that are not in default and do not qualify as </w:t>
            </w:r>
            <w:proofErr w:type="gramStart"/>
            <w:r w:rsidRPr="004F06AC">
              <w:rPr>
                <w:rFonts w:ascii="Calibri" w:hAnsi="Calibri" w:cs="Calibri"/>
                <w:szCs w:val="24"/>
              </w:rPr>
              <w:t>HQLA</w:t>
            </w:r>
            <w:r>
              <w:rPr>
                <w:rFonts w:ascii="Calibri" w:hAnsi="Calibri" w:cs="Calibri"/>
                <w:szCs w:val="24"/>
              </w:rPr>
              <w:t>;</w:t>
            </w:r>
            <w:proofErr w:type="gramEnd"/>
          </w:p>
          <w:p w14:paraId="2FA5C8DA" w14:textId="0F93DA35" w:rsidR="004F06AC" w:rsidRDefault="004F06AC" w:rsidP="004F06AC">
            <w:pPr>
              <w:pStyle w:val="ListParagraph"/>
              <w:numPr>
                <w:ilvl w:val="0"/>
                <w:numId w:val="111"/>
              </w:numPr>
              <w:rPr>
                <w:rFonts w:ascii="Calibri" w:hAnsi="Calibri" w:cs="Calibri"/>
                <w:szCs w:val="24"/>
              </w:rPr>
            </w:pPr>
            <w:r>
              <w:rPr>
                <w:rFonts w:ascii="Calibri" w:hAnsi="Calibri" w:cs="Calibri"/>
                <w:szCs w:val="24"/>
              </w:rPr>
              <w:t>p</w:t>
            </w:r>
            <w:r w:rsidRPr="004F06AC">
              <w:rPr>
                <w:rFonts w:ascii="Calibri" w:hAnsi="Calibri" w:cs="Calibri"/>
                <w:szCs w:val="24"/>
              </w:rPr>
              <w:t>hysical traded commodities, including gold.</w:t>
            </w:r>
          </w:p>
          <w:p w14:paraId="0050CDC1" w14:textId="2FFC2AA8" w:rsidR="004F06AC" w:rsidRPr="004F06AC" w:rsidRDefault="004F06AC" w:rsidP="0083739B">
            <w:pPr>
              <w:contextualSpacing/>
              <w:rPr>
                <w:b/>
                <w:bCs/>
              </w:rPr>
            </w:pPr>
          </w:p>
        </w:tc>
      </w:tr>
      <w:tr w:rsidR="006E454B" w14:paraId="0E603CC4" w14:textId="77777777" w:rsidTr="004F18B6">
        <w:trPr>
          <w:trHeight w:val="352"/>
        </w:trPr>
        <w:tc>
          <w:tcPr>
            <w:tcW w:w="988" w:type="dxa"/>
          </w:tcPr>
          <w:p w14:paraId="36C67CB9" w14:textId="1FF60866" w:rsidR="006E454B" w:rsidRDefault="004B4F9B" w:rsidP="00222FC2">
            <w:r>
              <w:t>RSF.1</w:t>
            </w:r>
            <w:r w:rsidR="00985E28">
              <w:t>5</w:t>
            </w:r>
          </w:p>
        </w:tc>
        <w:tc>
          <w:tcPr>
            <w:tcW w:w="7957" w:type="dxa"/>
          </w:tcPr>
          <w:p w14:paraId="32559F29" w14:textId="5348DEBA" w:rsidR="005842F3" w:rsidRDefault="005842F3" w:rsidP="005842F3">
            <w:pPr>
              <w:contextualSpacing/>
              <w:rPr>
                <w:rFonts w:ascii="Calibri" w:hAnsi="Calibri" w:cs="Calibri"/>
                <w:b/>
                <w:bCs/>
                <w:szCs w:val="24"/>
                <w:lang w:val="en-US"/>
              </w:rPr>
            </w:pPr>
            <w:r>
              <w:rPr>
                <w:rFonts w:ascii="Calibri" w:hAnsi="Calibri" w:cs="Calibri"/>
                <w:b/>
                <w:bCs/>
                <w:szCs w:val="24"/>
                <w:lang w:val="en-US"/>
              </w:rPr>
              <w:t>Encumbered assets</w:t>
            </w:r>
            <w:r w:rsidR="00797F8E">
              <w:rPr>
                <w:rFonts w:ascii="Calibri" w:hAnsi="Calibri" w:cs="Calibri"/>
                <w:b/>
                <w:bCs/>
                <w:szCs w:val="24"/>
                <w:lang w:val="en-US"/>
              </w:rPr>
              <w:t xml:space="preserve"> (</w:t>
            </w:r>
            <w:r w:rsidR="00E82A3A">
              <w:rPr>
                <w:rFonts w:ascii="Calibri" w:hAnsi="Calibri" w:cs="Calibri"/>
                <w:b/>
                <w:bCs/>
                <w:szCs w:val="24"/>
                <w:lang w:val="en-US"/>
              </w:rPr>
              <w:t xml:space="preserve">where the </w:t>
            </w:r>
            <w:r w:rsidR="00797F8E">
              <w:rPr>
                <w:rFonts w:ascii="Calibri" w:hAnsi="Calibri" w:cs="Calibri"/>
                <w:b/>
                <w:bCs/>
                <w:szCs w:val="24"/>
                <w:lang w:val="en-US"/>
              </w:rPr>
              <w:t xml:space="preserve">encumbrance </w:t>
            </w:r>
            <w:r w:rsidR="00E82A3A">
              <w:rPr>
                <w:rFonts w:ascii="Calibri" w:hAnsi="Calibri" w:cs="Calibri"/>
                <w:b/>
                <w:bCs/>
                <w:szCs w:val="24"/>
                <w:lang w:val="en-US"/>
              </w:rPr>
              <w:t xml:space="preserve">is </w:t>
            </w:r>
            <w:r w:rsidR="00E273E1">
              <w:rPr>
                <w:rFonts w:ascii="Calibri" w:hAnsi="Calibri" w:cs="Calibri"/>
                <w:b/>
                <w:bCs/>
                <w:szCs w:val="24"/>
                <w:lang w:val="en-US"/>
              </w:rPr>
              <w:t>≥</w:t>
            </w:r>
            <w:r w:rsidR="00797F8E">
              <w:rPr>
                <w:rFonts w:ascii="Calibri" w:hAnsi="Calibri" w:cs="Calibri"/>
                <w:b/>
                <w:bCs/>
                <w:szCs w:val="24"/>
                <w:lang w:val="en-US"/>
              </w:rPr>
              <w:t>6 months)</w:t>
            </w:r>
            <w:r>
              <w:rPr>
                <w:rFonts w:ascii="Calibri" w:hAnsi="Calibri" w:cs="Calibri"/>
                <w:b/>
                <w:bCs/>
                <w:szCs w:val="24"/>
                <w:lang w:val="en-US"/>
              </w:rPr>
              <w:t xml:space="preserve"> (50%</w:t>
            </w:r>
            <w:r w:rsidR="009860D3">
              <w:rPr>
                <w:rFonts w:ascii="Calibri" w:hAnsi="Calibri" w:cs="Calibri"/>
                <w:b/>
                <w:bCs/>
                <w:szCs w:val="24"/>
                <w:lang w:val="en-US"/>
              </w:rPr>
              <w:t>, 65%, 85%</w:t>
            </w:r>
            <w:r>
              <w:rPr>
                <w:rFonts w:ascii="Calibri" w:hAnsi="Calibri" w:cs="Calibri"/>
                <w:b/>
                <w:bCs/>
                <w:szCs w:val="24"/>
                <w:lang w:val="en-US"/>
              </w:rPr>
              <w:t xml:space="preserve"> or 100% RSF factor)</w:t>
            </w:r>
          </w:p>
          <w:p w14:paraId="78AE8E9A" w14:textId="77777777" w:rsidR="005842F3" w:rsidRDefault="005842F3" w:rsidP="005842F3">
            <w:pPr>
              <w:contextualSpacing/>
              <w:rPr>
                <w:rFonts w:ascii="Calibri" w:hAnsi="Calibri" w:cs="Calibri"/>
                <w:b/>
                <w:bCs/>
                <w:szCs w:val="24"/>
                <w:lang w:val="en-US"/>
              </w:rPr>
            </w:pPr>
          </w:p>
          <w:p w14:paraId="7013A288" w14:textId="5931B185" w:rsidR="00F90AEF" w:rsidRDefault="00F90AEF" w:rsidP="00F90AEF">
            <w:pPr>
              <w:contextualSpacing/>
              <w:jc w:val="both"/>
              <w:rPr>
                <w:szCs w:val="24"/>
                <w:highlight w:val="yellow"/>
              </w:rPr>
            </w:pPr>
            <w:r>
              <w:rPr>
                <w:szCs w:val="24"/>
              </w:rPr>
              <w:t>For each of RSF.1</w:t>
            </w:r>
            <w:r w:rsidR="009902D4">
              <w:rPr>
                <w:szCs w:val="24"/>
              </w:rPr>
              <w:t>5</w:t>
            </w:r>
            <w:r>
              <w:rPr>
                <w:szCs w:val="24"/>
              </w:rPr>
              <w:t>.1 to RSF.1</w:t>
            </w:r>
            <w:r w:rsidR="009902D4">
              <w:rPr>
                <w:szCs w:val="24"/>
              </w:rPr>
              <w:t>5</w:t>
            </w:r>
            <w:r>
              <w:rPr>
                <w:szCs w:val="24"/>
              </w:rPr>
              <w:t>.4, banks should allocate assets to the appropriate columns (maturity buckets) in the return based on their residual maturity or liquidity value.  The period of encumbrance is pertinent to the RSF factor only</w:t>
            </w:r>
            <w:r w:rsidRPr="00926CB8">
              <w:rPr>
                <w:szCs w:val="24"/>
              </w:rPr>
              <w:t>.</w:t>
            </w:r>
          </w:p>
          <w:p w14:paraId="16E220DB" w14:textId="77777777" w:rsidR="00F90AEF" w:rsidRPr="005842F3" w:rsidRDefault="00F90AEF" w:rsidP="005842F3">
            <w:pPr>
              <w:contextualSpacing/>
              <w:rPr>
                <w:rFonts w:ascii="Calibri" w:hAnsi="Calibri" w:cs="Calibri"/>
                <w:b/>
                <w:bCs/>
                <w:szCs w:val="24"/>
                <w:lang w:val="en-US"/>
              </w:rPr>
            </w:pPr>
          </w:p>
          <w:p w14:paraId="680A1EE5" w14:textId="1E52611F" w:rsidR="008C09DE" w:rsidRDefault="005842F3" w:rsidP="003429A9">
            <w:pPr>
              <w:contextualSpacing/>
              <w:rPr>
                <w:rFonts w:ascii="Calibri" w:hAnsi="Calibri" w:cs="Calibri"/>
                <w:szCs w:val="24"/>
                <w:lang w:val="en-US"/>
              </w:rPr>
            </w:pPr>
            <w:r>
              <w:rPr>
                <w:rFonts w:ascii="Calibri" w:hAnsi="Calibri" w:cs="Calibri"/>
                <w:b/>
                <w:bCs/>
                <w:szCs w:val="24"/>
                <w:lang w:val="en-US"/>
              </w:rPr>
              <w:t>RSF.1</w:t>
            </w:r>
            <w:r w:rsidR="009902D4">
              <w:rPr>
                <w:rFonts w:ascii="Calibri" w:hAnsi="Calibri" w:cs="Calibri"/>
                <w:b/>
                <w:bCs/>
                <w:szCs w:val="24"/>
                <w:lang w:val="en-US"/>
              </w:rPr>
              <w:t>5</w:t>
            </w:r>
            <w:r>
              <w:rPr>
                <w:rFonts w:ascii="Calibri" w:hAnsi="Calibri" w:cs="Calibri"/>
                <w:b/>
                <w:bCs/>
                <w:szCs w:val="24"/>
                <w:lang w:val="en-US"/>
              </w:rPr>
              <w:t>.1 (50% RSF factor)</w:t>
            </w:r>
            <w:r w:rsidRPr="00797F8E">
              <w:rPr>
                <w:rFonts w:ascii="Calibri" w:hAnsi="Calibri" w:cs="Calibri"/>
                <w:szCs w:val="24"/>
                <w:lang w:val="en-US"/>
              </w:rPr>
              <w:t xml:space="preserve"> - </w:t>
            </w:r>
            <w:r w:rsidR="003429A9">
              <w:rPr>
                <w:rFonts w:ascii="Calibri" w:hAnsi="Calibri" w:cs="Calibri"/>
                <w:szCs w:val="24"/>
                <w:lang w:val="en-US"/>
              </w:rPr>
              <w:t>t</w:t>
            </w:r>
            <w:r w:rsidRPr="00BB5736">
              <w:rPr>
                <w:rFonts w:ascii="Calibri" w:hAnsi="Calibri" w:cs="Calibri"/>
                <w:szCs w:val="24"/>
                <w:lang w:val="en-US"/>
              </w:rPr>
              <w:t>his comprises</w:t>
            </w:r>
            <w:r w:rsidR="008C09DE">
              <w:rPr>
                <w:rFonts w:ascii="Calibri" w:hAnsi="Calibri" w:cs="Calibri"/>
                <w:szCs w:val="24"/>
                <w:lang w:val="en-US"/>
              </w:rPr>
              <w:t>:</w:t>
            </w:r>
          </w:p>
          <w:p w14:paraId="7CD88864" w14:textId="4DA404DA" w:rsidR="005842F3" w:rsidRDefault="005842F3" w:rsidP="00583CBF">
            <w:pPr>
              <w:pStyle w:val="ListParagraph"/>
              <w:numPr>
                <w:ilvl w:val="0"/>
                <w:numId w:val="115"/>
              </w:numPr>
              <w:jc w:val="both"/>
              <w:rPr>
                <w:rFonts w:ascii="Calibri" w:hAnsi="Calibri" w:cs="Calibri"/>
                <w:szCs w:val="24"/>
                <w:lang w:val="en-US"/>
              </w:rPr>
            </w:pPr>
            <w:r w:rsidRPr="00797F8E">
              <w:rPr>
                <w:rFonts w:ascii="Calibri" w:hAnsi="Calibri" w:cs="Calibri"/>
                <w:szCs w:val="24"/>
                <w:lang w:val="en-US"/>
              </w:rPr>
              <w:t xml:space="preserve">any HQLA </w:t>
            </w:r>
            <w:r w:rsidRPr="00797F8E">
              <w:rPr>
                <w:rFonts w:ascii="Calibri" w:hAnsi="Calibri" w:cs="Calibri"/>
                <w:szCs w:val="24"/>
              </w:rPr>
              <w:t>(</w:t>
            </w:r>
            <w:r w:rsidRPr="00797F8E">
              <w:rPr>
                <w:rFonts w:ascii="Calibri" w:hAnsi="Calibri" w:cs="Calibri"/>
                <w:szCs w:val="24"/>
                <w:lang w:val="en-US"/>
              </w:rPr>
              <w:t xml:space="preserve">defined in the LCR) that are </w:t>
            </w:r>
            <w:r w:rsidRPr="00797F8E">
              <w:rPr>
                <w:rFonts w:ascii="Calibri" w:hAnsi="Calibri" w:cs="Calibri"/>
                <w:szCs w:val="24"/>
                <w:u w:val="single"/>
                <w:lang w:val="en-US"/>
              </w:rPr>
              <w:t>encumbered</w:t>
            </w:r>
            <w:r w:rsidRPr="00797F8E">
              <w:rPr>
                <w:rFonts w:ascii="Calibri" w:hAnsi="Calibri" w:cs="Calibri"/>
                <w:szCs w:val="24"/>
                <w:lang w:val="en-US"/>
              </w:rPr>
              <w:t xml:space="preserve"> for a period of between six months and less than one year</w:t>
            </w:r>
            <w:r w:rsidR="00F63C69">
              <w:rPr>
                <w:rFonts w:ascii="Calibri" w:hAnsi="Calibri" w:cs="Calibri"/>
                <w:szCs w:val="24"/>
                <w:lang w:val="en-US"/>
              </w:rPr>
              <w:t>; and</w:t>
            </w:r>
          </w:p>
          <w:p w14:paraId="539A15A7" w14:textId="58606A4B" w:rsidR="00F63C69" w:rsidRPr="00797F8E" w:rsidRDefault="00F63C69" w:rsidP="00583CBF">
            <w:pPr>
              <w:pStyle w:val="ListParagraph"/>
              <w:numPr>
                <w:ilvl w:val="0"/>
                <w:numId w:val="115"/>
              </w:numPr>
              <w:jc w:val="both"/>
              <w:rPr>
                <w:rFonts w:ascii="Calibri" w:hAnsi="Calibri" w:cs="Calibri"/>
                <w:szCs w:val="24"/>
                <w:lang w:val="en-US"/>
              </w:rPr>
            </w:pPr>
            <w:r>
              <w:rPr>
                <w:rFonts w:ascii="Calibri" w:hAnsi="Calibri" w:cs="Calibri"/>
                <w:szCs w:val="24"/>
                <w:lang w:val="en-US"/>
              </w:rPr>
              <w:t>any non-HQLA assets encumbered between six months and less than one year that would, if unencumbered, receive an RSF factor lower than or equal to 50%.</w:t>
            </w:r>
          </w:p>
          <w:p w14:paraId="365DDBEF" w14:textId="77777777" w:rsidR="003429A9" w:rsidRDefault="003429A9" w:rsidP="00583CBF">
            <w:pPr>
              <w:contextualSpacing/>
              <w:jc w:val="both"/>
              <w:rPr>
                <w:rFonts w:ascii="Calibri" w:hAnsi="Calibri" w:cs="Calibri"/>
                <w:szCs w:val="24"/>
                <w:lang w:val="en-US"/>
              </w:rPr>
            </w:pPr>
          </w:p>
          <w:p w14:paraId="298FC673" w14:textId="1A50F1B9" w:rsidR="006D3829" w:rsidRDefault="006D3829" w:rsidP="00583CBF">
            <w:pPr>
              <w:contextualSpacing/>
              <w:jc w:val="both"/>
              <w:rPr>
                <w:rFonts w:ascii="Calibri" w:hAnsi="Calibri" w:cs="Calibri"/>
                <w:szCs w:val="24"/>
                <w:lang w:val="en-US"/>
              </w:rPr>
            </w:pPr>
            <w:r w:rsidRPr="00797F8E">
              <w:rPr>
                <w:rFonts w:ascii="Calibri" w:hAnsi="Calibri" w:cs="Calibri"/>
                <w:b/>
                <w:bCs/>
                <w:szCs w:val="24"/>
                <w:lang w:val="en-US"/>
              </w:rPr>
              <w:t>RSF.1</w:t>
            </w:r>
            <w:r w:rsidR="009902D4">
              <w:rPr>
                <w:rFonts w:ascii="Calibri" w:hAnsi="Calibri" w:cs="Calibri"/>
                <w:b/>
                <w:bCs/>
                <w:szCs w:val="24"/>
                <w:lang w:val="en-US"/>
              </w:rPr>
              <w:t>5</w:t>
            </w:r>
            <w:r w:rsidRPr="00797F8E">
              <w:rPr>
                <w:rFonts w:ascii="Calibri" w:hAnsi="Calibri" w:cs="Calibri"/>
                <w:b/>
                <w:bCs/>
                <w:szCs w:val="24"/>
                <w:lang w:val="en-US"/>
              </w:rPr>
              <w:t>.2 (65% RSF factor)</w:t>
            </w:r>
            <w:r>
              <w:rPr>
                <w:rFonts w:ascii="Calibri" w:hAnsi="Calibri" w:cs="Calibri"/>
                <w:szCs w:val="24"/>
                <w:lang w:val="en-US"/>
              </w:rPr>
              <w:t xml:space="preserve"> – this comprises non-HQLA assets encumbered between six months and less than one year that would, if unencumbered, receive an RSF factor of 65%. This includes </w:t>
            </w:r>
            <w:r w:rsidR="009860D3">
              <w:rPr>
                <w:rFonts w:ascii="Calibri" w:hAnsi="Calibri" w:cs="Calibri"/>
                <w:szCs w:val="24"/>
                <w:lang w:val="en-US"/>
              </w:rPr>
              <w:t xml:space="preserve">the assets defined </w:t>
            </w:r>
            <w:r>
              <w:rPr>
                <w:rFonts w:ascii="Calibri" w:hAnsi="Calibri" w:cs="Calibri"/>
                <w:szCs w:val="24"/>
                <w:lang w:val="en-US"/>
              </w:rPr>
              <w:t>at RSF.1</w:t>
            </w:r>
            <w:r w:rsidR="00E82A3A">
              <w:rPr>
                <w:rFonts w:ascii="Calibri" w:hAnsi="Calibri" w:cs="Calibri"/>
                <w:szCs w:val="24"/>
                <w:lang w:val="en-US"/>
              </w:rPr>
              <w:t>0</w:t>
            </w:r>
            <w:r>
              <w:rPr>
                <w:rFonts w:ascii="Calibri" w:hAnsi="Calibri" w:cs="Calibri"/>
                <w:szCs w:val="24"/>
                <w:lang w:val="en-US"/>
              </w:rPr>
              <w:t xml:space="preserve"> and RSF.1</w:t>
            </w:r>
            <w:r w:rsidR="00E82A3A">
              <w:rPr>
                <w:rFonts w:ascii="Calibri" w:hAnsi="Calibri" w:cs="Calibri"/>
                <w:szCs w:val="24"/>
                <w:lang w:val="en-US"/>
              </w:rPr>
              <w:t>1</w:t>
            </w:r>
            <w:r>
              <w:rPr>
                <w:rFonts w:ascii="Calibri" w:hAnsi="Calibri" w:cs="Calibri"/>
                <w:szCs w:val="24"/>
                <w:lang w:val="en-US"/>
              </w:rPr>
              <w:t>.</w:t>
            </w:r>
          </w:p>
          <w:p w14:paraId="402CF39E" w14:textId="77777777" w:rsidR="006D3829" w:rsidRDefault="006D3829" w:rsidP="00583CBF">
            <w:pPr>
              <w:contextualSpacing/>
              <w:jc w:val="both"/>
              <w:rPr>
                <w:rFonts w:ascii="Calibri" w:hAnsi="Calibri" w:cs="Calibri"/>
                <w:szCs w:val="24"/>
                <w:lang w:val="en-US"/>
              </w:rPr>
            </w:pPr>
          </w:p>
          <w:p w14:paraId="16204866" w14:textId="35BFA492" w:rsidR="006D3829" w:rsidRDefault="006D3829" w:rsidP="00583CBF">
            <w:pPr>
              <w:contextualSpacing/>
              <w:jc w:val="both"/>
              <w:rPr>
                <w:rFonts w:ascii="Calibri" w:hAnsi="Calibri" w:cs="Calibri"/>
                <w:szCs w:val="24"/>
                <w:lang w:val="en-US"/>
              </w:rPr>
            </w:pPr>
            <w:r>
              <w:rPr>
                <w:rFonts w:ascii="Calibri" w:hAnsi="Calibri" w:cs="Calibri"/>
                <w:b/>
                <w:bCs/>
                <w:szCs w:val="24"/>
                <w:lang w:val="en-US"/>
              </w:rPr>
              <w:lastRenderedPageBreak/>
              <w:t>RSF.1</w:t>
            </w:r>
            <w:r w:rsidR="009902D4">
              <w:rPr>
                <w:rFonts w:ascii="Calibri" w:hAnsi="Calibri" w:cs="Calibri"/>
                <w:b/>
                <w:bCs/>
                <w:szCs w:val="24"/>
                <w:lang w:val="en-US"/>
              </w:rPr>
              <w:t>5</w:t>
            </w:r>
            <w:r>
              <w:rPr>
                <w:rFonts w:ascii="Calibri" w:hAnsi="Calibri" w:cs="Calibri"/>
                <w:b/>
                <w:bCs/>
                <w:szCs w:val="24"/>
                <w:lang w:val="en-US"/>
              </w:rPr>
              <w:t>.3 (85% RSF factor)</w:t>
            </w:r>
            <w:r>
              <w:rPr>
                <w:rFonts w:ascii="Calibri" w:hAnsi="Calibri" w:cs="Calibri"/>
                <w:szCs w:val="24"/>
                <w:lang w:val="en-US"/>
              </w:rPr>
              <w:t xml:space="preserve"> – this comprises non-HQLA assets encumbered between si</w:t>
            </w:r>
            <w:r w:rsidR="009902D4">
              <w:rPr>
                <w:rFonts w:ascii="Calibri" w:hAnsi="Calibri" w:cs="Calibri"/>
                <w:szCs w:val="24"/>
                <w:lang w:val="en-US"/>
              </w:rPr>
              <w:t>x</w:t>
            </w:r>
            <w:r>
              <w:rPr>
                <w:rFonts w:ascii="Calibri" w:hAnsi="Calibri" w:cs="Calibri"/>
                <w:szCs w:val="24"/>
                <w:lang w:val="en-US"/>
              </w:rPr>
              <w:t xml:space="preserve"> months and less than one year that would, if unencumbered receive an RSF factor of 85%. </w:t>
            </w:r>
            <w:r w:rsidR="009860D3">
              <w:rPr>
                <w:rFonts w:ascii="Calibri" w:hAnsi="Calibri" w:cs="Calibri"/>
                <w:szCs w:val="24"/>
                <w:lang w:val="en-US"/>
              </w:rPr>
              <w:t>This includes the assets defined at RSF.1</w:t>
            </w:r>
            <w:r w:rsidR="00E82A3A">
              <w:rPr>
                <w:rFonts w:ascii="Calibri" w:hAnsi="Calibri" w:cs="Calibri"/>
                <w:szCs w:val="24"/>
                <w:lang w:val="en-US"/>
              </w:rPr>
              <w:t>2</w:t>
            </w:r>
            <w:r w:rsidR="009860D3">
              <w:rPr>
                <w:rFonts w:ascii="Calibri" w:hAnsi="Calibri" w:cs="Calibri"/>
                <w:szCs w:val="24"/>
                <w:lang w:val="en-US"/>
              </w:rPr>
              <w:t xml:space="preserve"> to RSF.1</w:t>
            </w:r>
            <w:r w:rsidR="00E82A3A">
              <w:rPr>
                <w:rFonts w:ascii="Calibri" w:hAnsi="Calibri" w:cs="Calibri"/>
                <w:szCs w:val="24"/>
                <w:lang w:val="en-US"/>
              </w:rPr>
              <w:t>4</w:t>
            </w:r>
            <w:r w:rsidR="009860D3">
              <w:rPr>
                <w:rFonts w:ascii="Calibri" w:hAnsi="Calibri" w:cs="Calibri"/>
                <w:szCs w:val="24"/>
                <w:lang w:val="en-US"/>
              </w:rPr>
              <w:t>.</w:t>
            </w:r>
          </w:p>
          <w:p w14:paraId="507B4BD2" w14:textId="77777777" w:rsidR="009860D3" w:rsidRPr="006D3829" w:rsidRDefault="009860D3">
            <w:pPr>
              <w:contextualSpacing/>
              <w:rPr>
                <w:rFonts w:ascii="Calibri" w:hAnsi="Calibri" w:cs="Calibri"/>
                <w:szCs w:val="24"/>
                <w:lang w:val="en-US"/>
              </w:rPr>
            </w:pPr>
          </w:p>
          <w:p w14:paraId="3AE78724" w14:textId="0BCE988A" w:rsidR="004B4F9B" w:rsidRPr="00E82A3A" w:rsidRDefault="003429A9" w:rsidP="00583CBF">
            <w:pPr>
              <w:contextualSpacing/>
              <w:jc w:val="both"/>
              <w:rPr>
                <w:rFonts w:ascii="Calibri" w:hAnsi="Calibri" w:cs="Calibri"/>
                <w:szCs w:val="24"/>
              </w:rPr>
            </w:pPr>
            <w:r w:rsidRPr="00E82A3A">
              <w:rPr>
                <w:rFonts w:ascii="Calibri" w:hAnsi="Calibri" w:cs="Calibri"/>
                <w:b/>
                <w:bCs/>
                <w:szCs w:val="24"/>
              </w:rPr>
              <w:t>RSF.1</w:t>
            </w:r>
            <w:r w:rsidR="009902D4">
              <w:rPr>
                <w:rFonts w:ascii="Calibri" w:hAnsi="Calibri" w:cs="Calibri"/>
                <w:b/>
                <w:bCs/>
                <w:szCs w:val="24"/>
              </w:rPr>
              <w:t>5</w:t>
            </w:r>
            <w:r w:rsidRPr="00E82A3A">
              <w:rPr>
                <w:rFonts w:ascii="Calibri" w:hAnsi="Calibri" w:cs="Calibri"/>
                <w:b/>
                <w:bCs/>
                <w:szCs w:val="24"/>
              </w:rPr>
              <w:t>.</w:t>
            </w:r>
            <w:r w:rsidR="00C029DE" w:rsidRPr="00E82A3A">
              <w:rPr>
                <w:rFonts w:ascii="Calibri" w:hAnsi="Calibri" w:cs="Calibri"/>
                <w:b/>
                <w:bCs/>
                <w:szCs w:val="24"/>
              </w:rPr>
              <w:t>4</w:t>
            </w:r>
            <w:r w:rsidR="004B4F9B" w:rsidRPr="00E82A3A">
              <w:rPr>
                <w:rFonts w:ascii="Calibri" w:hAnsi="Calibri" w:cs="Calibri"/>
                <w:b/>
                <w:bCs/>
                <w:szCs w:val="24"/>
              </w:rPr>
              <w:t xml:space="preserve"> (100% RSF factor)</w:t>
            </w:r>
            <w:r w:rsidRPr="00E82A3A">
              <w:rPr>
                <w:rFonts w:ascii="Calibri" w:hAnsi="Calibri" w:cs="Calibri"/>
                <w:szCs w:val="24"/>
              </w:rPr>
              <w:t xml:space="preserve"> – this comprises a</w:t>
            </w:r>
            <w:proofErr w:type="spellStart"/>
            <w:r w:rsidR="004B4F9B" w:rsidRPr="00E82A3A">
              <w:rPr>
                <w:rFonts w:ascii="Calibri" w:hAnsi="Calibri" w:cs="Calibri"/>
                <w:szCs w:val="24"/>
                <w:lang w:val="en-US"/>
              </w:rPr>
              <w:t>ll</w:t>
            </w:r>
            <w:proofErr w:type="spellEnd"/>
            <w:r w:rsidR="00E82A3A">
              <w:rPr>
                <w:rFonts w:ascii="Calibri" w:hAnsi="Calibri" w:cs="Calibri"/>
                <w:szCs w:val="24"/>
                <w:lang w:val="en-US"/>
              </w:rPr>
              <w:t xml:space="preserve"> </w:t>
            </w:r>
            <w:r w:rsidR="004B4F9B" w:rsidRPr="00E82A3A">
              <w:rPr>
                <w:rFonts w:ascii="Calibri" w:hAnsi="Calibri" w:cs="Calibri"/>
                <w:szCs w:val="24"/>
                <w:lang w:val="en-US"/>
              </w:rPr>
              <w:t>assets, including HQLA, that are encumbered for a period of one year or more.</w:t>
            </w:r>
          </w:p>
          <w:p w14:paraId="77ABA184" w14:textId="77777777" w:rsidR="006E454B" w:rsidRDefault="006E454B" w:rsidP="004B4F9B">
            <w:pPr>
              <w:contextualSpacing/>
            </w:pPr>
          </w:p>
        </w:tc>
      </w:tr>
      <w:tr w:rsidR="004B4F9B" w14:paraId="69A7770D" w14:textId="77777777" w:rsidTr="004F18B6">
        <w:trPr>
          <w:trHeight w:val="352"/>
        </w:trPr>
        <w:tc>
          <w:tcPr>
            <w:tcW w:w="988" w:type="dxa"/>
          </w:tcPr>
          <w:p w14:paraId="44BFEBE2" w14:textId="284A346E" w:rsidR="004B4F9B" w:rsidRDefault="004B4F9B" w:rsidP="00222FC2">
            <w:r>
              <w:lastRenderedPageBreak/>
              <w:t>RSF.1</w:t>
            </w:r>
            <w:r w:rsidR="00985E28">
              <w:t>6</w:t>
            </w:r>
          </w:p>
        </w:tc>
        <w:tc>
          <w:tcPr>
            <w:tcW w:w="7957" w:type="dxa"/>
          </w:tcPr>
          <w:p w14:paraId="67D63B44" w14:textId="6D2540E3" w:rsidR="004B4F9B" w:rsidRPr="00A170FE" w:rsidRDefault="00E46E6E" w:rsidP="004B4F9B">
            <w:pPr>
              <w:contextualSpacing/>
              <w:rPr>
                <w:rFonts w:ascii="Calibri" w:hAnsi="Calibri" w:cs="Calibri"/>
                <w:b/>
                <w:bCs/>
                <w:szCs w:val="24"/>
              </w:rPr>
            </w:pPr>
            <w:r>
              <w:rPr>
                <w:rFonts w:ascii="Calibri" w:hAnsi="Calibri" w:cs="Calibri"/>
                <w:b/>
                <w:bCs/>
                <w:szCs w:val="24"/>
                <w:lang w:val="en-US"/>
              </w:rPr>
              <w:t>Net (NSFR)</w:t>
            </w:r>
            <w:r w:rsidR="004B4F9B" w:rsidRPr="00F949BA">
              <w:rPr>
                <w:rFonts w:ascii="Calibri" w:hAnsi="Calibri" w:cs="Calibri"/>
                <w:b/>
                <w:bCs/>
                <w:szCs w:val="24"/>
                <w:lang w:val="en-US"/>
              </w:rPr>
              <w:t xml:space="preserve"> </w:t>
            </w:r>
            <w:r w:rsidR="00F502D3" w:rsidRPr="00A170FE">
              <w:rPr>
                <w:rFonts w:ascii="Calibri" w:hAnsi="Calibri" w:cs="Calibri"/>
                <w:b/>
                <w:bCs/>
                <w:szCs w:val="24"/>
              </w:rPr>
              <w:t>derivative</w:t>
            </w:r>
            <w:r w:rsidR="004B4F9B" w:rsidRPr="00A170FE">
              <w:rPr>
                <w:rFonts w:ascii="Calibri" w:hAnsi="Calibri" w:cs="Calibri"/>
                <w:b/>
                <w:bCs/>
                <w:szCs w:val="24"/>
              </w:rPr>
              <w:t xml:space="preserve"> </w:t>
            </w:r>
            <w:r w:rsidR="00F502D3">
              <w:rPr>
                <w:rFonts w:ascii="Calibri" w:hAnsi="Calibri" w:cs="Calibri"/>
                <w:b/>
                <w:bCs/>
                <w:szCs w:val="24"/>
              </w:rPr>
              <w:t>a</w:t>
            </w:r>
            <w:r w:rsidR="004B4F9B" w:rsidRPr="00A170FE">
              <w:rPr>
                <w:rFonts w:ascii="Calibri" w:hAnsi="Calibri" w:cs="Calibri"/>
                <w:b/>
                <w:bCs/>
                <w:szCs w:val="24"/>
              </w:rPr>
              <w:t>ssets</w:t>
            </w:r>
            <w:r w:rsidR="00B1104F">
              <w:rPr>
                <w:rFonts w:ascii="Calibri" w:hAnsi="Calibri" w:cs="Calibri"/>
                <w:b/>
                <w:bCs/>
                <w:szCs w:val="24"/>
              </w:rPr>
              <w:t xml:space="preserve"> (100% RSF factor)</w:t>
            </w:r>
          </w:p>
          <w:p w14:paraId="50BDC43C" w14:textId="471E5CF9" w:rsidR="00E46E6E" w:rsidRPr="00E46E6E" w:rsidRDefault="00E46E6E" w:rsidP="00E46E6E">
            <w:pPr>
              <w:contextualSpacing/>
              <w:rPr>
                <w:rFonts w:ascii="Calibri" w:hAnsi="Calibri" w:cs="Calibri"/>
                <w:szCs w:val="24"/>
              </w:rPr>
            </w:pPr>
            <w:r w:rsidRPr="00E46E6E">
              <w:rPr>
                <w:rFonts w:ascii="Calibri" w:hAnsi="Calibri" w:cs="Calibri"/>
                <w:szCs w:val="24"/>
              </w:rPr>
              <w:t>The amount to be reported for this Item should be calculated as:</w:t>
            </w:r>
          </w:p>
          <w:p w14:paraId="1B1E1CB9" w14:textId="41CA3874" w:rsidR="00E46E6E" w:rsidRPr="00E46E6E" w:rsidRDefault="00E46E6E" w:rsidP="00E46E6E">
            <w:pPr>
              <w:pStyle w:val="ListParagraph"/>
              <w:numPr>
                <w:ilvl w:val="0"/>
                <w:numId w:val="108"/>
              </w:numPr>
              <w:rPr>
                <w:rFonts w:ascii="Calibri" w:hAnsi="Calibri" w:cs="Calibri"/>
                <w:szCs w:val="24"/>
                <w:lang w:val="en-US"/>
              </w:rPr>
            </w:pPr>
            <w:r w:rsidRPr="00E46E6E">
              <w:rPr>
                <w:rFonts w:ascii="Calibri" w:hAnsi="Calibri" w:cs="Calibri"/>
                <w:szCs w:val="24"/>
              </w:rPr>
              <w:t>NSFR derivative assets (</w:t>
            </w:r>
            <w:r w:rsidRPr="0083739B">
              <w:rPr>
                <w:rFonts w:ascii="Calibri" w:hAnsi="Calibri" w:cs="Calibri"/>
                <w:b/>
                <w:bCs/>
                <w:i/>
                <w:iCs/>
                <w:szCs w:val="24"/>
              </w:rPr>
              <w:t xml:space="preserve">calculated per </w:t>
            </w:r>
            <w:r w:rsidRPr="0083739B">
              <w:rPr>
                <w:rFonts w:ascii="Calibri" w:hAnsi="Calibri" w:cs="Calibri"/>
                <w:b/>
                <w:bCs/>
                <w:i/>
                <w:iCs/>
                <w:szCs w:val="24"/>
                <w:lang w:val="en-US"/>
              </w:rPr>
              <w:t>paragraph A.2</w:t>
            </w:r>
            <w:r w:rsidR="00C60A3A">
              <w:rPr>
                <w:rFonts w:ascii="Calibri" w:hAnsi="Calibri" w:cs="Calibri"/>
                <w:b/>
                <w:bCs/>
                <w:i/>
                <w:iCs/>
                <w:szCs w:val="24"/>
                <w:lang w:val="en-US"/>
              </w:rPr>
              <w:t>,</w:t>
            </w:r>
            <w:r w:rsidRPr="0083739B">
              <w:rPr>
                <w:rFonts w:ascii="Calibri" w:hAnsi="Calibri" w:cs="Calibri"/>
                <w:b/>
                <w:bCs/>
                <w:i/>
                <w:iCs/>
                <w:szCs w:val="24"/>
                <w:lang w:val="en-US"/>
              </w:rPr>
              <w:t xml:space="preserve"> Annex A</w:t>
            </w:r>
            <w:r w:rsidRPr="00E46E6E">
              <w:rPr>
                <w:rFonts w:ascii="Calibri" w:hAnsi="Calibri" w:cs="Calibri"/>
                <w:szCs w:val="24"/>
                <w:lang w:val="en-US"/>
              </w:rPr>
              <w:t>); less</w:t>
            </w:r>
          </w:p>
          <w:p w14:paraId="6D40A066" w14:textId="05E4817A" w:rsidR="00E46E6E" w:rsidRPr="00E46E6E" w:rsidRDefault="00E46E6E" w:rsidP="00E46E6E">
            <w:pPr>
              <w:pStyle w:val="ListParagraph"/>
              <w:numPr>
                <w:ilvl w:val="0"/>
                <w:numId w:val="108"/>
              </w:numPr>
              <w:rPr>
                <w:rFonts w:ascii="Calibri" w:hAnsi="Calibri" w:cs="Calibri"/>
                <w:szCs w:val="24"/>
                <w:lang w:val="en-US"/>
              </w:rPr>
            </w:pPr>
            <w:r w:rsidRPr="00E46E6E">
              <w:rPr>
                <w:rFonts w:ascii="Calibri" w:hAnsi="Calibri" w:cs="Calibri"/>
                <w:szCs w:val="24"/>
              </w:rPr>
              <w:t xml:space="preserve">NSFR derivative </w:t>
            </w:r>
            <w:r w:rsidRPr="00E46E6E">
              <w:rPr>
                <w:rFonts w:ascii="Calibri" w:hAnsi="Calibri" w:cs="Calibri"/>
                <w:szCs w:val="24"/>
                <w:lang w:val="en-US"/>
              </w:rPr>
              <w:t>liabilities</w:t>
            </w:r>
            <w:r w:rsidRPr="00E46E6E">
              <w:rPr>
                <w:rFonts w:ascii="Calibri" w:hAnsi="Calibri" w:cs="Calibri"/>
                <w:szCs w:val="24"/>
              </w:rPr>
              <w:t xml:space="preserve"> (</w:t>
            </w:r>
            <w:r w:rsidRPr="0083739B">
              <w:rPr>
                <w:rFonts w:ascii="Calibri" w:hAnsi="Calibri" w:cs="Calibri"/>
                <w:b/>
                <w:bCs/>
                <w:i/>
                <w:iCs/>
                <w:szCs w:val="24"/>
              </w:rPr>
              <w:t xml:space="preserve">calculated per </w:t>
            </w:r>
            <w:r w:rsidRPr="0083739B">
              <w:rPr>
                <w:rFonts w:ascii="Calibri" w:hAnsi="Calibri" w:cs="Calibri"/>
                <w:b/>
                <w:bCs/>
                <w:i/>
                <w:iCs/>
                <w:szCs w:val="24"/>
                <w:lang w:val="en-US"/>
              </w:rPr>
              <w:t>paragraph A.1</w:t>
            </w:r>
            <w:r w:rsidR="00C60A3A">
              <w:rPr>
                <w:rFonts w:ascii="Calibri" w:hAnsi="Calibri" w:cs="Calibri"/>
                <w:b/>
                <w:bCs/>
                <w:i/>
                <w:iCs/>
                <w:szCs w:val="24"/>
                <w:lang w:val="en-US"/>
              </w:rPr>
              <w:t>,</w:t>
            </w:r>
            <w:r w:rsidRPr="0083739B">
              <w:rPr>
                <w:rFonts w:ascii="Calibri" w:hAnsi="Calibri" w:cs="Calibri"/>
                <w:b/>
                <w:bCs/>
                <w:i/>
                <w:iCs/>
                <w:szCs w:val="24"/>
                <w:lang w:val="en-US"/>
              </w:rPr>
              <w:t xml:space="preserve"> Annex A</w:t>
            </w:r>
            <w:r w:rsidRPr="00E46E6E">
              <w:rPr>
                <w:rFonts w:ascii="Calibri" w:hAnsi="Calibri" w:cs="Calibri"/>
                <w:szCs w:val="24"/>
                <w:lang w:val="en-US"/>
              </w:rPr>
              <w:t>)</w:t>
            </w:r>
          </w:p>
          <w:p w14:paraId="55628B39" w14:textId="77777777" w:rsidR="00E46E6E" w:rsidRDefault="00E46E6E" w:rsidP="00E46E6E">
            <w:pPr>
              <w:jc w:val="both"/>
              <w:rPr>
                <w:rFonts w:ascii="Calibri" w:hAnsi="Calibri" w:cs="Calibri"/>
                <w:szCs w:val="24"/>
                <w:lang w:val="en-US"/>
              </w:rPr>
            </w:pPr>
          </w:p>
          <w:p w14:paraId="56E7AF8B" w14:textId="1EEEFD28" w:rsidR="00C755F6" w:rsidRDefault="00E46E6E" w:rsidP="00E46E6E">
            <w:pPr>
              <w:jc w:val="both"/>
              <w:rPr>
                <w:rFonts w:ascii="Calibri" w:hAnsi="Calibri" w:cs="Calibri"/>
                <w:szCs w:val="24"/>
                <w:lang w:val="en-US"/>
              </w:rPr>
            </w:pPr>
            <w:r w:rsidRPr="00E46E6E">
              <w:rPr>
                <w:rFonts w:ascii="Calibri" w:hAnsi="Calibri" w:cs="Calibri"/>
                <w:szCs w:val="24"/>
                <w:lang w:val="en-US"/>
              </w:rPr>
              <w:t>Subject to the result being a positive figure</w:t>
            </w:r>
            <w:r w:rsidR="00C755F6">
              <w:rPr>
                <w:rFonts w:ascii="Calibri" w:hAnsi="Calibri" w:cs="Calibri"/>
                <w:szCs w:val="24"/>
                <w:lang w:val="en-US"/>
              </w:rPr>
              <w:t>, plus</w:t>
            </w:r>
          </w:p>
          <w:p w14:paraId="396C9289" w14:textId="65D37406" w:rsidR="00E46E6E" w:rsidRPr="00C755F6" w:rsidRDefault="00E46E6E" w:rsidP="00C755F6">
            <w:pPr>
              <w:pStyle w:val="ListParagraph"/>
              <w:numPr>
                <w:ilvl w:val="0"/>
                <w:numId w:val="112"/>
              </w:numPr>
              <w:jc w:val="both"/>
              <w:rPr>
                <w:rFonts w:ascii="Calibri" w:hAnsi="Calibri" w:cs="Calibri"/>
                <w:szCs w:val="24"/>
                <w:lang w:val="en-US"/>
              </w:rPr>
            </w:pPr>
            <w:r w:rsidRPr="00C755F6">
              <w:rPr>
                <w:rFonts w:ascii="Calibri" w:hAnsi="Calibri" w:cs="Calibri"/>
                <w:szCs w:val="24"/>
                <w:lang w:val="en-US"/>
              </w:rPr>
              <w:t xml:space="preserve">20% of derivative liabilities (i.e. negative replacement cost amounts) as </w:t>
            </w:r>
            <w:r w:rsidRPr="0083739B">
              <w:rPr>
                <w:rFonts w:ascii="Calibri" w:hAnsi="Calibri" w:cs="Calibri"/>
                <w:b/>
                <w:bCs/>
                <w:i/>
                <w:iCs/>
                <w:szCs w:val="24"/>
                <w:lang w:val="en-US"/>
              </w:rPr>
              <w:t>calculated per paragraph A.1 of Annex A</w:t>
            </w:r>
            <w:r w:rsidRPr="00C755F6">
              <w:rPr>
                <w:rFonts w:ascii="Calibri" w:hAnsi="Calibri" w:cs="Calibri"/>
                <w:szCs w:val="24"/>
                <w:lang w:val="en-US"/>
              </w:rPr>
              <w:t xml:space="preserve"> (before deducting variation margin posted).</w:t>
            </w:r>
          </w:p>
          <w:p w14:paraId="17318BA8" w14:textId="77777777" w:rsidR="00E46E6E" w:rsidRDefault="00E46E6E" w:rsidP="00E46E6E">
            <w:pPr>
              <w:jc w:val="both"/>
              <w:rPr>
                <w:rFonts w:ascii="Calibri" w:hAnsi="Calibri" w:cs="Calibri"/>
                <w:szCs w:val="24"/>
                <w:highlight w:val="yellow"/>
                <w:lang w:val="en-US"/>
              </w:rPr>
            </w:pPr>
          </w:p>
          <w:p w14:paraId="022B3C18" w14:textId="60234308" w:rsidR="00E46E6E" w:rsidRPr="00423861" w:rsidRDefault="00C60A3A" w:rsidP="00E46E6E">
            <w:pPr>
              <w:jc w:val="both"/>
              <w:rPr>
                <w:rFonts w:ascii="Calibri" w:hAnsi="Calibri" w:cs="Calibri"/>
                <w:szCs w:val="24"/>
                <w:lang w:val="en-US"/>
              </w:rPr>
            </w:pPr>
            <w:r>
              <w:rPr>
                <w:rFonts w:ascii="Calibri" w:hAnsi="Calibri" w:cs="Calibri"/>
                <w:szCs w:val="24"/>
                <w:lang w:val="en-US"/>
              </w:rPr>
              <w:t xml:space="preserve">If the result of the calculation is a negative figure, banks should input “0” as the “amount” here. </w:t>
            </w:r>
            <w:r w:rsidR="00E46E6E" w:rsidRPr="00B503B7">
              <w:rPr>
                <w:rFonts w:ascii="Calibri" w:hAnsi="Calibri" w:cs="Calibri"/>
                <w:szCs w:val="24"/>
                <w:lang w:val="en-US"/>
              </w:rPr>
              <w:t>A negative figure must not be input.</w:t>
            </w:r>
          </w:p>
          <w:p w14:paraId="11C91140" w14:textId="77777777" w:rsidR="00294EB1" w:rsidRDefault="00294EB1" w:rsidP="00B1104F">
            <w:pPr>
              <w:contextualSpacing/>
            </w:pPr>
          </w:p>
        </w:tc>
      </w:tr>
      <w:tr w:rsidR="006E454B" w14:paraId="6258ECE2" w14:textId="77777777" w:rsidTr="004F18B6">
        <w:trPr>
          <w:trHeight w:val="352"/>
        </w:trPr>
        <w:tc>
          <w:tcPr>
            <w:tcW w:w="988" w:type="dxa"/>
          </w:tcPr>
          <w:p w14:paraId="30F12890" w14:textId="0F48289C" w:rsidR="006E454B" w:rsidRDefault="004B4F9B" w:rsidP="00222FC2">
            <w:r>
              <w:t>RSF.1</w:t>
            </w:r>
            <w:r w:rsidR="00985E28">
              <w:t>7</w:t>
            </w:r>
          </w:p>
        </w:tc>
        <w:tc>
          <w:tcPr>
            <w:tcW w:w="7957" w:type="dxa"/>
          </w:tcPr>
          <w:p w14:paraId="29F14463" w14:textId="0834B6B7" w:rsidR="004B4F9B" w:rsidRDefault="004B4F9B" w:rsidP="004B4F9B">
            <w:pPr>
              <w:contextualSpacing/>
              <w:rPr>
                <w:rFonts w:ascii="Calibri" w:hAnsi="Calibri" w:cs="Calibri"/>
                <w:b/>
                <w:bCs/>
                <w:szCs w:val="24"/>
              </w:rPr>
            </w:pPr>
            <w:r>
              <w:rPr>
                <w:rFonts w:ascii="Calibri" w:hAnsi="Calibri" w:cs="Calibri"/>
                <w:b/>
                <w:bCs/>
                <w:szCs w:val="24"/>
              </w:rPr>
              <w:t>Assets without a stated maturity</w:t>
            </w:r>
            <w:r w:rsidR="00B1104F">
              <w:rPr>
                <w:rFonts w:ascii="Calibri" w:hAnsi="Calibri" w:cs="Calibri"/>
                <w:b/>
                <w:bCs/>
                <w:szCs w:val="24"/>
              </w:rPr>
              <w:t xml:space="preserve"> (100% RSF factor)</w:t>
            </w:r>
          </w:p>
          <w:p w14:paraId="562D91AB" w14:textId="25A8F379" w:rsidR="004B4F9B" w:rsidRDefault="00C60A3A" w:rsidP="00B1104F">
            <w:pPr>
              <w:contextualSpacing/>
              <w:jc w:val="both"/>
              <w:rPr>
                <w:rFonts w:ascii="Calibri" w:hAnsi="Calibri" w:cs="Calibri"/>
                <w:szCs w:val="24"/>
                <w:lang w:val="en-US"/>
              </w:rPr>
            </w:pPr>
            <w:r>
              <w:rPr>
                <w:rFonts w:ascii="Calibri" w:hAnsi="Calibri" w:cs="Calibri"/>
                <w:szCs w:val="24"/>
                <w:lang w:val="en-US"/>
              </w:rPr>
              <w:t xml:space="preserve">Report </w:t>
            </w:r>
            <w:r w:rsidR="00B1104F">
              <w:rPr>
                <w:rFonts w:ascii="Calibri" w:hAnsi="Calibri" w:cs="Calibri"/>
                <w:szCs w:val="24"/>
                <w:lang w:val="en-US"/>
              </w:rPr>
              <w:t>a</w:t>
            </w:r>
            <w:r w:rsidR="004B4F9B" w:rsidRPr="00500768">
              <w:rPr>
                <w:rFonts w:ascii="Calibri" w:hAnsi="Calibri" w:cs="Calibri"/>
                <w:szCs w:val="24"/>
                <w:lang w:val="en-US"/>
              </w:rPr>
              <w:t xml:space="preserve">ssets without a stated maturity not included in </w:t>
            </w:r>
            <w:r w:rsidR="004B4F9B" w:rsidRPr="00B1104F">
              <w:rPr>
                <w:rFonts w:ascii="Calibri" w:hAnsi="Calibri" w:cs="Calibri"/>
                <w:szCs w:val="24"/>
                <w:lang w:val="en-US"/>
              </w:rPr>
              <w:t>Items RSF.1</w:t>
            </w:r>
            <w:r w:rsidR="00513B21">
              <w:rPr>
                <w:rFonts w:ascii="Calibri" w:hAnsi="Calibri" w:cs="Calibri"/>
                <w:szCs w:val="24"/>
                <w:lang w:val="en-US"/>
              </w:rPr>
              <w:t>5</w:t>
            </w:r>
            <w:r w:rsidR="004B4F9B" w:rsidRPr="00B1104F">
              <w:rPr>
                <w:rFonts w:ascii="Calibri" w:hAnsi="Calibri" w:cs="Calibri"/>
                <w:szCs w:val="24"/>
                <w:lang w:val="en-US"/>
              </w:rPr>
              <w:t xml:space="preserve"> and RSF.</w:t>
            </w:r>
            <w:r w:rsidR="00B1104F" w:rsidRPr="00B1104F">
              <w:rPr>
                <w:rFonts w:ascii="Calibri" w:hAnsi="Calibri" w:cs="Calibri"/>
                <w:szCs w:val="24"/>
                <w:lang w:val="en-US"/>
              </w:rPr>
              <w:t>1</w:t>
            </w:r>
            <w:r w:rsidR="00513B21">
              <w:rPr>
                <w:rFonts w:ascii="Calibri" w:hAnsi="Calibri" w:cs="Calibri"/>
                <w:szCs w:val="24"/>
                <w:lang w:val="en-US"/>
              </w:rPr>
              <w:t>6</w:t>
            </w:r>
            <w:r w:rsidR="004B4F9B" w:rsidRPr="00500768">
              <w:rPr>
                <w:rFonts w:ascii="Calibri" w:hAnsi="Calibri" w:cs="Calibri"/>
                <w:szCs w:val="24"/>
                <w:lang w:val="en-US"/>
              </w:rPr>
              <w:t xml:space="preserve"> (including non-maturity reverse repos unless </w:t>
            </w:r>
            <w:r w:rsidR="00B1104F">
              <w:rPr>
                <w:rFonts w:ascii="Calibri" w:hAnsi="Calibri" w:cs="Calibri"/>
                <w:szCs w:val="24"/>
                <w:lang w:val="en-US"/>
              </w:rPr>
              <w:t xml:space="preserve">a </w:t>
            </w:r>
            <w:r w:rsidR="004B4F9B" w:rsidRPr="00500768">
              <w:rPr>
                <w:rFonts w:ascii="Calibri" w:hAnsi="Calibri" w:cs="Calibri"/>
                <w:szCs w:val="24"/>
                <w:lang w:val="en-US"/>
              </w:rPr>
              <w:t xml:space="preserve">bank can demonstrate to </w:t>
            </w:r>
            <w:r w:rsidR="004B4F9B">
              <w:rPr>
                <w:rFonts w:ascii="Calibri" w:hAnsi="Calibri" w:cs="Calibri"/>
                <w:szCs w:val="24"/>
                <w:lang w:val="en-US"/>
              </w:rPr>
              <w:t>the Authority</w:t>
            </w:r>
            <w:r w:rsidR="004B4F9B" w:rsidRPr="00500768">
              <w:rPr>
                <w:rFonts w:ascii="Calibri" w:hAnsi="Calibri" w:cs="Calibri"/>
                <w:szCs w:val="24"/>
                <w:lang w:val="en-US"/>
              </w:rPr>
              <w:t xml:space="preserve"> that the non-maturity reverse repo would effectively mature in less than one year).</w:t>
            </w:r>
          </w:p>
          <w:p w14:paraId="1876E33D" w14:textId="77777777" w:rsidR="0083739B" w:rsidRDefault="0083739B" w:rsidP="00B1104F">
            <w:pPr>
              <w:contextualSpacing/>
              <w:jc w:val="both"/>
              <w:rPr>
                <w:rFonts w:ascii="Calibri" w:hAnsi="Calibri" w:cs="Calibri"/>
                <w:i/>
                <w:iCs/>
                <w:szCs w:val="24"/>
                <w:lang w:val="en-US"/>
              </w:rPr>
            </w:pPr>
          </w:p>
          <w:p w14:paraId="71223F44" w14:textId="4DD5A710" w:rsidR="00EE54F2" w:rsidRPr="0083739B" w:rsidRDefault="00EE54F2" w:rsidP="00B1104F">
            <w:pPr>
              <w:contextualSpacing/>
              <w:jc w:val="both"/>
              <w:rPr>
                <w:rFonts w:ascii="Calibri" w:hAnsi="Calibri" w:cs="Calibri"/>
                <w:i/>
                <w:iCs/>
                <w:szCs w:val="24"/>
                <w:lang w:val="en-US"/>
              </w:rPr>
            </w:pPr>
            <w:r>
              <w:rPr>
                <w:rFonts w:ascii="Calibri" w:hAnsi="Calibri" w:cs="Calibri"/>
                <w:i/>
                <w:iCs/>
                <w:szCs w:val="24"/>
                <w:lang w:val="en-US"/>
              </w:rPr>
              <w:t xml:space="preserve">Note: </w:t>
            </w:r>
            <w:r w:rsidR="0083739B">
              <w:rPr>
                <w:rFonts w:ascii="Calibri" w:hAnsi="Calibri" w:cs="Calibri"/>
                <w:i/>
                <w:iCs/>
                <w:szCs w:val="24"/>
                <w:lang w:val="en-US"/>
              </w:rPr>
              <w:t>For</w:t>
            </w:r>
            <w:r>
              <w:rPr>
                <w:rFonts w:ascii="Calibri" w:hAnsi="Calibri" w:cs="Calibri"/>
                <w:i/>
                <w:iCs/>
                <w:szCs w:val="24"/>
                <w:lang w:val="en-US"/>
              </w:rPr>
              <w:t xml:space="preserve"> NSFR reporting, these are treated as maturing over one year.</w:t>
            </w:r>
          </w:p>
          <w:p w14:paraId="2EADF33B" w14:textId="77777777" w:rsidR="006E454B" w:rsidRDefault="006E454B" w:rsidP="0083739B">
            <w:pPr>
              <w:contextualSpacing/>
            </w:pPr>
          </w:p>
        </w:tc>
      </w:tr>
      <w:tr w:rsidR="006D685B" w14:paraId="17C9477D" w14:textId="77777777" w:rsidTr="004F18B6">
        <w:trPr>
          <w:trHeight w:val="352"/>
        </w:trPr>
        <w:tc>
          <w:tcPr>
            <w:tcW w:w="988" w:type="dxa"/>
          </w:tcPr>
          <w:p w14:paraId="6CB2FE37" w14:textId="22A449A3" w:rsidR="006D685B" w:rsidRPr="00E6642B" w:rsidRDefault="004B4F9B" w:rsidP="00222FC2">
            <w:r>
              <w:t>RSF.</w:t>
            </w:r>
            <w:r w:rsidR="00985E28">
              <w:t>18</w:t>
            </w:r>
          </w:p>
        </w:tc>
        <w:tc>
          <w:tcPr>
            <w:tcW w:w="7957" w:type="dxa"/>
          </w:tcPr>
          <w:p w14:paraId="556B9B1E" w14:textId="4AC1F7EC" w:rsidR="004B4F9B" w:rsidRDefault="004B4F9B" w:rsidP="004B4F9B">
            <w:pPr>
              <w:contextualSpacing/>
              <w:rPr>
                <w:rFonts w:ascii="Calibri" w:hAnsi="Calibri" w:cs="Calibri"/>
                <w:b/>
                <w:bCs/>
                <w:szCs w:val="24"/>
              </w:rPr>
            </w:pPr>
            <w:r>
              <w:rPr>
                <w:rFonts w:ascii="Calibri" w:hAnsi="Calibri" w:cs="Calibri"/>
                <w:b/>
                <w:bCs/>
                <w:szCs w:val="24"/>
              </w:rPr>
              <w:t>Other assets</w:t>
            </w:r>
            <w:r w:rsidR="00B1104F">
              <w:rPr>
                <w:rFonts w:ascii="Calibri" w:hAnsi="Calibri" w:cs="Calibri"/>
                <w:b/>
                <w:bCs/>
                <w:szCs w:val="24"/>
              </w:rPr>
              <w:t xml:space="preserve"> (100% RSF factor)</w:t>
            </w:r>
          </w:p>
          <w:p w14:paraId="2A387D6E" w14:textId="3A9D262C" w:rsidR="004B4F9B" w:rsidRDefault="00C16750" w:rsidP="00B1104F">
            <w:pPr>
              <w:contextualSpacing/>
              <w:jc w:val="both"/>
              <w:rPr>
                <w:rFonts w:ascii="Calibri" w:hAnsi="Calibri" w:cs="Calibri"/>
                <w:szCs w:val="24"/>
                <w:lang w:val="en-US"/>
              </w:rPr>
            </w:pPr>
            <w:r>
              <w:rPr>
                <w:rFonts w:ascii="Calibri" w:hAnsi="Calibri" w:cs="Calibri"/>
                <w:szCs w:val="24"/>
                <w:lang w:val="en-US"/>
              </w:rPr>
              <w:t xml:space="preserve">Report </w:t>
            </w:r>
            <w:r w:rsidR="00B1104F">
              <w:rPr>
                <w:rFonts w:ascii="Calibri" w:hAnsi="Calibri" w:cs="Calibri"/>
                <w:szCs w:val="24"/>
                <w:lang w:val="en-US"/>
              </w:rPr>
              <w:t>al</w:t>
            </w:r>
            <w:r w:rsidR="004B4F9B" w:rsidRPr="00500768">
              <w:rPr>
                <w:rFonts w:ascii="Calibri" w:hAnsi="Calibri" w:cs="Calibri"/>
                <w:szCs w:val="24"/>
                <w:lang w:val="en-US"/>
              </w:rPr>
              <w:t xml:space="preserve">l other assets not included in </w:t>
            </w:r>
            <w:r w:rsidR="00B1104F">
              <w:rPr>
                <w:rFonts w:ascii="Calibri" w:hAnsi="Calibri" w:cs="Calibri"/>
                <w:szCs w:val="24"/>
                <w:lang w:val="en-US"/>
              </w:rPr>
              <w:t xml:space="preserve">any of </w:t>
            </w:r>
            <w:r w:rsidR="004B4F9B" w:rsidRPr="00500768">
              <w:rPr>
                <w:rFonts w:ascii="Calibri" w:hAnsi="Calibri" w:cs="Calibri"/>
                <w:szCs w:val="24"/>
                <w:lang w:val="en-US"/>
              </w:rPr>
              <w:t>the above categories, including non-performing loans,</w:t>
            </w:r>
            <w:r w:rsidR="0083739B">
              <w:rPr>
                <w:rFonts w:ascii="Calibri" w:hAnsi="Calibri" w:cs="Calibri"/>
                <w:szCs w:val="24"/>
                <w:lang w:val="en-US"/>
              </w:rPr>
              <w:t xml:space="preserve"> </w:t>
            </w:r>
            <w:r w:rsidR="004B4F9B" w:rsidRPr="00500768">
              <w:rPr>
                <w:rFonts w:ascii="Calibri" w:hAnsi="Calibri" w:cs="Calibri"/>
                <w:szCs w:val="24"/>
                <w:lang w:val="en-US"/>
              </w:rPr>
              <w:t>non-exchange-traded equities, fixed assets, items deducted from regulatory capital, retained interest, insurance assets, subsidiary interests and defaulted securities.</w:t>
            </w:r>
          </w:p>
          <w:p w14:paraId="29CF7BB3" w14:textId="77777777" w:rsidR="006D685B" w:rsidRDefault="006D685B" w:rsidP="0083739B">
            <w:pPr>
              <w:contextualSpacing/>
            </w:pPr>
          </w:p>
        </w:tc>
      </w:tr>
      <w:tr w:rsidR="004B4F9B" w14:paraId="2293774B" w14:textId="77777777" w:rsidTr="004F18B6">
        <w:trPr>
          <w:trHeight w:val="352"/>
        </w:trPr>
        <w:tc>
          <w:tcPr>
            <w:tcW w:w="988" w:type="dxa"/>
          </w:tcPr>
          <w:p w14:paraId="64B63707" w14:textId="39CE2C0B" w:rsidR="004B4F9B" w:rsidRDefault="004B4F9B" w:rsidP="00222FC2">
            <w:r>
              <w:t>RSF.</w:t>
            </w:r>
            <w:r w:rsidR="00985E28">
              <w:t>19</w:t>
            </w:r>
          </w:p>
        </w:tc>
        <w:tc>
          <w:tcPr>
            <w:tcW w:w="7957" w:type="dxa"/>
          </w:tcPr>
          <w:p w14:paraId="764D33A5" w14:textId="77777777" w:rsidR="004B4F9B" w:rsidRDefault="004B4F9B" w:rsidP="004B4F9B">
            <w:pPr>
              <w:contextualSpacing/>
              <w:rPr>
                <w:rFonts w:ascii="Calibri" w:hAnsi="Calibri" w:cs="Calibri"/>
                <w:b/>
                <w:bCs/>
                <w:szCs w:val="24"/>
              </w:rPr>
            </w:pPr>
            <w:r>
              <w:rPr>
                <w:rFonts w:ascii="Calibri" w:hAnsi="Calibri" w:cs="Calibri"/>
                <w:b/>
                <w:bCs/>
                <w:szCs w:val="24"/>
              </w:rPr>
              <w:t>Total RSF – Balance Sheet Items</w:t>
            </w:r>
          </w:p>
          <w:p w14:paraId="7DE0CE9E" w14:textId="02B33D69" w:rsidR="004B4F9B" w:rsidRPr="00E052F9" w:rsidRDefault="004B4F9B" w:rsidP="004B4F9B">
            <w:pPr>
              <w:contextualSpacing/>
              <w:rPr>
                <w:rFonts w:ascii="Calibri" w:hAnsi="Calibri" w:cs="Calibri"/>
                <w:szCs w:val="24"/>
              </w:rPr>
            </w:pPr>
            <w:r w:rsidRPr="00E052F9">
              <w:rPr>
                <w:rFonts w:ascii="Calibri" w:hAnsi="Calibri" w:cs="Calibri"/>
                <w:szCs w:val="24"/>
              </w:rPr>
              <w:t xml:space="preserve">Calculated </w:t>
            </w:r>
            <w:r>
              <w:rPr>
                <w:rFonts w:ascii="Calibri" w:hAnsi="Calibri" w:cs="Calibri"/>
                <w:szCs w:val="24"/>
              </w:rPr>
              <w:t xml:space="preserve">automatically </w:t>
            </w:r>
            <w:r w:rsidRPr="00E052F9">
              <w:rPr>
                <w:rFonts w:ascii="Calibri" w:hAnsi="Calibri" w:cs="Calibri"/>
                <w:szCs w:val="24"/>
              </w:rPr>
              <w:t>as the sum of Items RSF.1 to RSF.</w:t>
            </w:r>
            <w:r w:rsidR="00985E28">
              <w:rPr>
                <w:rFonts w:ascii="Calibri" w:hAnsi="Calibri" w:cs="Calibri"/>
                <w:szCs w:val="24"/>
              </w:rPr>
              <w:t>18</w:t>
            </w:r>
            <w:r w:rsidRPr="00E052F9">
              <w:rPr>
                <w:rFonts w:ascii="Calibri" w:hAnsi="Calibri" w:cs="Calibri"/>
                <w:szCs w:val="24"/>
              </w:rPr>
              <w:t>.</w:t>
            </w:r>
          </w:p>
          <w:p w14:paraId="3D69E56E" w14:textId="77777777" w:rsidR="004B4F9B" w:rsidRDefault="004B4F9B" w:rsidP="004B4F9B">
            <w:pPr>
              <w:contextualSpacing/>
              <w:rPr>
                <w:rFonts w:ascii="Calibri" w:hAnsi="Calibri" w:cs="Calibri"/>
                <w:b/>
                <w:bCs/>
                <w:szCs w:val="24"/>
              </w:rPr>
            </w:pPr>
          </w:p>
        </w:tc>
      </w:tr>
      <w:tr w:rsidR="00222FC2" w14:paraId="7FDFF2B4" w14:textId="77777777" w:rsidTr="004F18B6">
        <w:trPr>
          <w:trHeight w:val="352"/>
        </w:trPr>
        <w:tc>
          <w:tcPr>
            <w:tcW w:w="8945" w:type="dxa"/>
            <w:gridSpan w:val="2"/>
            <w:shd w:val="clear" w:color="auto" w:fill="005782"/>
          </w:tcPr>
          <w:p w14:paraId="4F11FB3B" w14:textId="2366358D" w:rsidR="00222FC2" w:rsidRPr="003119F7" w:rsidRDefault="00721585" w:rsidP="00222FC2">
            <w:pPr>
              <w:jc w:val="center"/>
              <w:rPr>
                <w:color w:val="FFFFFF" w:themeColor="background1"/>
              </w:rPr>
            </w:pPr>
            <w:r>
              <w:rPr>
                <w:rFonts w:ascii="Calibri" w:hAnsi="Calibri" w:cs="Calibri"/>
                <w:color w:val="FFFFFF" w:themeColor="background1"/>
                <w:szCs w:val="24"/>
              </w:rPr>
              <w:t xml:space="preserve">Off </w:t>
            </w:r>
            <w:r w:rsidRPr="00721585">
              <w:rPr>
                <w:rFonts w:ascii="Calibri" w:hAnsi="Calibri" w:cs="Calibri"/>
                <w:color w:val="FFFFFF" w:themeColor="background1"/>
                <w:szCs w:val="24"/>
              </w:rPr>
              <w:t>Balance Sheet Items</w:t>
            </w:r>
            <w:r>
              <w:rPr>
                <w:rFonts w:ascii="Calibri" w:hAnsi="Calibri" w:cs="Calibri"/>
                <w:color w:val="FFFFFF" w:themeColor="background1"/>
                <w:szCs w:val="24"/>
              </w:rPr>
              <w:t xml:space="preserve"> (Items RS</w:t>
            </w:r>
            <w:r w:rsidR="00E46E6E">
              <w:rPr>
                <w:rFonts w:ascii="Calibri" w:hAnsi="Calibri" w:cs="Calibri"/>
                <w:color w:val="FFFFFF" w:themeColor="background1"/>
                <w:szCs w:val="24"/>
              </w:rPr>
              <w:t>F.2</w:t>
            </w:r>
            <w:r w:rsidR="00985E28">
              <w:rPr>
                <w:rFonts w:ascii="Calibri" w:hAnsi="Calibri" w:cs="Calibri"/>
                <w:color w:val="FFFFFF" w:themeColor="background1"/>
                <w:szCs w:val="24"/>
              </w:rPr>
              <w:t>0</w:t>
            </w:r>
            <w:r w:rsidR="00E46E6E">
              <w:rPr>
                <w:rFonts w:ascii="Calibri" w:hAnsi="Calibri" w:cs="Calibri"/>
                <w:color w:val="FFFFFF" w:themeColor="background1"/>
                <w:szCs w:val="24"/>
              </w:rPr>
              <w:t xml:space="preserve"> to RSF.</w:t>
            </w:r>
            <w:r w:rsidR="004E507D">
              <w:rPr>
                <w:rFonts w:ascii="Calibri" w:hAnsi="Calibri" w:cs="Calibri"/>
                <w:color w:val="FFFFFF" w:themeColor="background1"/>
                <w:szCs w:val="24"/>
              </w:rPr>
              <w:t>2</w:t>
            </w:r>
            <w:r w:rsidR="00985E28">
              <w:rPr>
                <w:rFonts w:ascii="Calibri" w:hAnsi="Calibri" w:cs="Calibri"/>
                <w:color w:val="FFFFFF" w:themeColor="background1"/>
                <w:szCs w:val="24"/>
              </w:rPr>
              <w:t>5</w:t>
            </w:r>
            <w:r>
              <w:rPr>
                <w:rFonts w:ascii="Calibri" w:hAnsi="Calibri" w:cs="Calibri"/>
                <w:color w:val="FFFFFF" w:themeColor="background1"/>
                <w:szCs w:val="24"/>
              </w:rPr>
              <w:t>)</w:t>
            </w:r>
          </w:p>
        </w:tc>
      </w:tr>
      <w:tr w:rsidR="0049338A" w14:paraId="09CA5EDA" w14:textId="77777777" w:rsidTr="00E03E50">
        <w:trPr>
          <w:trHeight w:val="352"/>
        </w:trPr>
        <w:tc>
          <w:tcPr>
            <w:tcW w:w="8945" w:type="dxa"/>
            <w:gridSpan w:val="2"/>
          </w:tcPr>
          <w:p w14:paraId="488172B0" w14:textId="42637398" w:rsidR="0049338A" w:rsidRPr="00E47C64" w:rsidRDefault="0049338A" w:rsidP="00315EC6">
            <w:pPr>
              <w:contextualSpacing/>
              <w:jc w:val="both"/>
              <w:rPr>
                <w:szCs w:val="24"/>
              </w:rPr>
            </w:pPr>
            <w:r w:rsidRPr="00E47C64">
              <w:rPr>
                <w:szCs w:val="24"/>
              </w:rPr>
              <w:t>Many potential of</w:t>
            </w:r>
            <w:r w:rsidR="00E47C64" w:rsidRPr="00E47C64">
              <w:rPr>
                <w:szCs w:val="24"/>
              </w:rPr>
              <w:t>f</w:t>
            </w:r>
            <w:r w:rsidRPr="00E47C64">
              <w:rPr>
                <w:szCs w:val="24"/>
              </w:rPr>
              <w:t xml:space="preserve">-balance sheet liquidity exposures require little direct or immediate funding but can lead to significant liquidity drains over a longer time horizon. The NSFR assigns an RSF factor to various off-balance sheet activities </w:t>
            </w:r>
            <w:proofErr w:type="gramStart"/>
            <w:r w:rsidRPr="00E47C64">
              <w:rPr>
                <w:szCs w:val="24"/>
              </w:rPr>
              <w:t>in order to</w:t>
            </w:r>
            <w:proofErr w:type="gramEnd"/>
            <w:r w:rsidRPr="00E47C64">
              <w:rPr>
                <w:szCs w:val="24"/>
              </w:rPr>
              <w:t xml:space="preserve"> ensure that </w:t>
            </w:r>
            <w:r w:rsidR="00E47C64" w:rsidRPr="00E47C64">
              <w:rPr>
                <w:szCs w:val="24"/>
              </w:rPr>
              <w:t xml:space="preserve">banks </w:t>
            </w:r>
            <w:r w:rsidRPr="00E47C64">
              <w:rPr>
                <w:szCs w:val="24"/>
              </w:rPr>
              <w:t xml:space="preserve">hold stable funding for the portion of off-balance sheet exposures that may be expected to require funding within a one-year horizon. </w:t>
            </w:r>
          </w:p>
          <w:p w14:paraId="2919B802" w14:textId="77777777" w:rsidR="0049338A" w:rsidRPr="00E47C64" w:rsidRDefault="0049338A" w:rsidP="00315EC6">
            <w:pPr>
              <w:contextualSpacing/>
              <w:jc w:val="both"/>
              <w:rPr>
                <w:szCs w:val="24"/>
              </w:rPr>
            </w:pPr>
          </w:p>
          <w:p w14:paraId="2F1312F0" w14:textId="3D94FA02" w:rsidR="0083739B" w:rsidRPr="0083739B" w:rsidRDefault="0049338A" w:rsidP="00222FC2">
            <w:pPr>
              <w:contextualSpacing/>
              <w:jc w:val="both"/>
              <w:rPr>
                <w:szCs w:val="24"/>
              </w:rPr>
            </w:pPr>
            <w:r w:rsidRPr="00E47C64">
              <w:rPr>
                <w:szCs w:val="24"/>
              </w:rPr>
              <w:t xml:space="preserve">Consistent with the LCR </w:t>
            </w:r>
            <w:r w:rsidR="00E159E0">
              <w:rPr>
                <w:szCs w:val="24"/>
              </w:rPr>
              <w:t xml:space="preserve">Reporting Form </w:t>
            </w:r>
            <w:r w:rsidRPr="00E47C64">
              <w:rPr>
                <w:szCs w:val="24"/>
              </w:rPr>
              <w:t xml:space="preserve">Guidance, the NSFR identifies off-balance-sheet exposure categories based broadly on whether the commitment is a credit or liquidity facility or some other contingent funding obligation. </w:t>
            </w:r>
          </w:p>
        </w:tc>
      </w:tr>
      <w:tr w:rsidR="00315EC6" w14:paraId="21377515" w14:textId="77777777" w:rsidTr="004F18B6">
        <w:trPr>
          <w:trHeight w:val="352"/>
        </w:trPr>
        <w:tc>
          <w:tcPr>
            <w:tcW w:w="988" w:type="dxa"/>
          </w:tcPr>
          <w:p w14:paraId="33A5869F" w14:textId="171035E3" w:rsidR="00315EC6" w:rsidRPr="00315EC6" w:rsidRDefault="00315EC6" w:rsidP="00315EC6">
            <w:r w:rsidRPr="00315EC6">
              <w:rPr>
                <w:rFonts w:ascii="Calibri" w:hAnsi="Calibri" w:cs="Calibri"/>
                <w:szCs w:val="24"/>
              </w:rPr>
              <w:lastRenderedPageBreak/>
              <w:t>RSF.2</w:t>
            </w:r>
            <w:r w:rsidR="00985E28">
              <w:rPr>
                <w:rFonts w:ascii="Calibri" w:hAnsi="Calibri" w:cs="Calibri"/>
                <w:szCs w:val="24"/>
              </w:rPr>
              <w:t>0</w:t>
            </w:r>
          </w:p>
        </w:tc>
        <w:tc>
          <w:tcPr>
            <w:tcW w:w="7957" w:type="dxa"/>
          </w:tcPr>
          <w:p w14:paraId="0B23E60E" w14:textId="0EE1A107" w:rsidR="00315EC6" w:rsidRDefault="00315EC6" w:rsidP="00315EC6">
            <w:pPr>
              <w:contextualSpacing/>
              <w:rPr>
                <w:rFonts w:ascii="Calibri" w:hAnsi="Calibri" w:cs="Calibri"/>
                <w:b/>
                <w:bCs/>
                <w:szCs w:val="24"/>
              </w:rPr>
            </w:pPr>
            <w:r>
              <w:rPr>
                <w:rFonts w:ascii="Calibri" w:hAnsi="Calibri" w:cs="Calibri"/>
                <w:b/>
                <w:bCs/>
                <w:szCs w:val="24"/>
              </w:rPr>
              <w:t>Irrevocable and conditionally revocable facilities (5% RSF factor)</w:t>
            </w:r>
          </w:p>
          <w:p w14:paraId="7EC1D5B6" w14:textId="63EFF352" w:rsidR="00315EC6" w:rsidRPr="001962EC" w:rsidRDefault="00E159E0" w:rsidP="00315EC6">
            <w:pPr>
              <w:contextualSpacing/>
              <w:jc w:val="both"/>
              <w:rPr>
                <w:rFonts w:ascii="Calibri" w:hAnsi="Calibri" w:cs="Calibri"/>
                <w:szCs w:val="24"/>
              </w:rPr>
            </w:pPr>
            <w:r>
              <w:rPr>
                <w:rFonts w:ascii="Calibri" w:hAnsi="Calibri" w:cs="Calibri"/>
                <w:szCs w:val="24"/>
              </w:rPr>
              <w:t xml:space="preserve">Report </w:t>
            </w:r>
            <w:r w:rsidR="00315EC6">
              <w:rPr>
                <w:rFonts w:ascii="Calibri" w:hAnsi="Calibri" w:cs="Calibri"/>
                <w:szCs w:val="24"/>
              </w:rPr>
              <w:t>balances of undrawn committed irrevocable and conditionally revocable credit and liquidity facilities to any client.</w:t>
            </w:r>
          </w:p>
          <w:p w14:paraId="702A48CB" w14:textId="77777777" w:rsidR="00315EC6" w:rsidRDefault="00315EC6" w:rsidP="00315EC6">
            <w:pPr>
              <w:contextualSpacing/>
            </w:pPr>
          </w:p>
        </w:tc>
      </w:tr>
      <w:tr w:rsidR="00222FC2" w14:paraId="5C974DB2" w14:textId="77777777" w:rsidTr="004F18B6">
        <w:trPr>
          <w:trHeight w:val="352"/>
        </w:trPr>
        <w:tc>
          <w:tcPr>
            <w:tcW w:w="988" w:type="dxa"/>
          </w:tcPr>
          <w:p w14:paraId="6793584E" w14:textId="075670ED" w:rsidR="00222FC2" w:rsidRPr="00E6642B" w:rsidRDefault="004E507D" w:rsidP="00222FC2">
            <w:r>
              <w:t>RSF.2</w:t>
            </w:r>
            <w:r w:rsidR="00985E28">
              <w:t>1</w:t>
            </w:r>
          </w:p>
        </w:tc>
        <w:tc>
          <w:tcPr>
            <w:tcW w:w="7957" w:type="dxa"/>
          </w:tcPr>
          <w:p w14:paraId="093A5EB6" w14:textId="5D9B4A1E" w:rsidR="004E507D" w:rsidRDefault="004E507D" w:rsidP="004E507D">
            <w:pPr>
              <w:contextualSpacing/>
              <w:rPr>
                <w:rFonts w:ascii="Calibri" w:hAnsi="Calibri" w:cs="Calibri"/>
                <w:b/>
                <w:bCs/>
                <w:szCs w:val="24"/>
              </w:rPr>
            </w:pPr>
            <w:r>
              <w:rPr>
                <w:rFonts w:ascii="Calibri" w:hAnsi="Calibri" w:cs="Calibri"/>
                <w:b/>
                <w:bCs/>
                <w:szCs w:val="24"/>
              </w:rPr>
              <w:t>Unconditionally revocable facilities (0% RSF factor)</w:t>
            </w:r>
          </w:p>
          <w:p w14:paraId="5F23C409" w14:textId="1A36E94D" w:rsidR="004E507D" w:rsidRDefault="00E159E0" w:rsidP="004E507D">
            <w:pPr>
              <w:contextualSpacing/>
              <w:jc w:val="both"/>
              <w:rPr>
                <w:rFonts w:ascii="Calibri" w:hAnsi="Calibri" w:cs="Calibri"/>
                <w:szCs w:val="24"/>
              </w:rPr>
            </w:pPr>
            <w:r>
              <w:rPr>
                <w:rFonts w:ascii="Calibri" w:hAnsi="Calibri" w:cs="Calibri"/>
                <w:szCs w:val="24"/>
              </w:rPr>
              <w:t xml:space="preserve">Report </w:t>
            </w:r>
            <w:r w:rsidR="004E507D">
              <w:rPr>
                <w:rFonts w:ascii="Calibri" w:hAnsi="Calibri" w:cs="Calibri"/>
                <w:szCs w:val="24"/>
              </w:rPr>
              <w:t>balances of undrawn unconditionally revocable credit and liquidity facilities.</w:t>
            </w:r>
          </w:p>
          <w:p w14:paraId="1AAF9296" w14:textId="77777777" w:rsidR="00222FC2" w:rsidRPr="000F7991" w:rsidRDefault="00222FC2" w:rsidP="00222FC2">
            <w:pPr>
              <w:contextualSpacing/>
              <w:jc w:val="both"/>
              <w:rPr>
                <w:rFonts w:ascii="Calibri" w:hAnsi="Calibri" w:cs="Calibri"/>
                <w:szCs w:val="24"/>
              </w:rPr>
            </w:pPr>
          </w:p>
        </w:tc>
      </w:tr>
      <w:tr w:rsidR="00222FC2" w14:paraId="46B5EE3F" w14:textId="77777777" w:rsidTr="004F18B6">
        <w:trPr>
          <w:trHeight w:val="352"/>
        </w:trPr>
        <w:tc>
          <w:tcPr>
            <w:tcW w:w="988" w:type="dxa"/>
          </w:tcPr>
          <w:p w14:paraId="338C9143" w14:textId="2EA48613" w:rsidR="00222FC2" w:rsidRPr="00E6642B" w:rsidRDefault="004E507D" w:rsidP="00222FC2">
            <w:r>
              <w:t>RSF.2</w:t>
            </w:r>
            <w:r w:rsidR="00985E28">
              <w:t>2</w:t>
            </w:r>
          </w:p>
        </w:tc>
        <w:tc>
          <w:tcPr>
            <w:tcW w:w="7957" w:type="dxa"/>
          </w:tcPr>
          <w:p w14:paraId="42EE82EA" w14:textId="4A7041EC" w:rsidR="004E507D" w:rsidRDefault="004E507D" w:rsidP="004E507D">
            <w:pPr>
              <w:contextualSpacing/>
              <w:jc w:val="both"/>
              <w:rPr>
                <w:rFonts w:ascii="Calibri" w:hAnsi="Calibri" w:cs="Calibri"/>
                <w:b/>
                <w:bCs/>
                <w:szCs w:val="24"/>
              </w:rPr>
            </w:pPr>
            <w:r>
              <w:rPr>
                <w:rFonts w:ascii="Calibri" w:hAnsi="Calibri" w:cs="Calibri"/>
                <w:b/>
                <w:bCs/>
                <w:szCs w:val="24"/>
              </w:rPr>
              <w:t>Trade finance-related obligations (0% RSF factor)</w:t>
            </w:r>
          </w:p>
          <w:p w14:paraId="39E5A6A0" w14:textId="78B85DD1" w:rsidR="004E507D" w:rsidRDefault="00E159E0" w:rsidP="004E507D">
            <w:pPr>
              <w:contextualSpacing/>
              <w:jc w:val="both"/>
              <w:rPr>
                <w:rFonts w:ascii="Calibri" w:hAnsi="Calibri" w:cs="Calibri"/>
                <w:szCs w:val="24"/>
              </w:rPr>
            </w:pPr>
            <w:r>
              <w:rPr>
                <w:rFonts w:ascii="Calibri" w:hAnsi="Calibri" w:cs="Calibri"/>
                <w:szCs w:val="24"/>
              </w:rPr>
              <w:t xml:space="preserve">Report </w:t>
            </w:r>
            <w:r w:rsidR="004E507D">
              <w:rPr>
                <w:rFonts w:ascii="Calibri" w:hAnsi="Calibri" w:cs="Calibri"/>
                <w:szCs w:val="24"/>
              </w:rPr>
              <w:t>trade finance-related obligations (including guarantees and letters of credit).</w:t>
            </w:r>
          </w:p>
          <w:p w14:paraId="32AD8AE3" w14:textId="77777777" w:rsidR="00222FC2" w:rsidRDefault="00222FC2" w:rsidP="00222FC2">
            <w:pPr>
              <w:jc w:val="both"/>
            </w:pPr>
          </w:p>
        </w:tc>
      </w:tr>
      <w:tr w:rsidR="00222FC2" w14:paraId="356AAC42" w14:textId="77777777" w:rsidTr="004F18B6">
        <w:trPr>
          <w:trHeight w:val="352"/>
        </w:trPr>
        <w:tc>
          <w:tcPr>
            <w:tcW w:w="988" w:type="dxa"/>
          </w:tcPr>
          <w:p w14:paraId="4C81C12D" w14:textId="2176CE61" w:rsidR="00222FC2" w:rsidRPr="00E6642B" w:rsidRDefault="004E507D" w:rsidP="00222FC2">
            <w:r>
              <w:t>RSF.2</w:t>
            </w:r>
            <w:r w:rsidR="00985E28">
              <w:t>3</w:t>
            </w:r>
          </w:p>
        </w:tc>
        <w:tc>
          <w:tcPr>
            <w:tcW w:w="7957" w:type="dxa"/>
          </w:tcPr>
          <w:p w14:paraId="67AB3363" w14:textId="4E0DB946" w:rsidR="004E507D" w:rsidRDefault="004E507D" w:rsidP="004E507D">
            <w:pPr>
              <w:contextualSpacing/>
              <w:jc w:val="both"/>
              <w:rPr>
                <w:rFonts w:ascii="Calibri" w:hAnsi="Calibri" w:cs="Calibri"/>
                <w:b/>
                <w:bCs/>
                <w:szCs w:val="24"/>
                <w:lang w:val="en-US"/>
              </w:rPr>
            </w:pPr>
            <w:r>
              <w:rPr>
                <w:rFonts w:ascii="Calibri" w:hAnsi="Calibri" w:cs="Calibri"/>
                <w:b/>
                <w:bCs/>
                <w:szCs w:val="24"/>
                <w:lang w:val="en-US"/>
              </w:rPr>
              <w:t>G</w:t>
            </w:r>
            <w:r w:rsidRPr="001A1673">
              <w:rPr>
                <w:rFonts w:ascii="Calibri" w:hAnsi="Calibri" w:cs="Calibri"/>
                <w:b/>
                <w:bCs/>
                <w:szCs w:val="24"/>
                <w:lang w:val="en-US"/>
              </w:rPr>
              <w:t>uarantees and letters of credit unrelated to trade f</w:t>
            </w:r>
            <w:r>
              <w:rPr>
                <w:rFonts w:ascii="Calibri" w:hAnsi="Calibri" w:cs="Calibri"/>
                <w:b/>
                <w:bCs/>
                <w:szCs w:val="24"/>
                <w:lang w:val="en-US"/>
              </w:rPr>
              <w:t>i</w:t>
            </w:r>
            <w:r w:rsidRPr="001A1673">
              <w:rPr>
                <w:rFonts w:ascii="Calibri" w:hAnsi="Calibri" w:cs="Calibri"/>
                <w:b/>
                <w:bCs/>
                <w:szCs w:val="24"/>
                <w:lang w:val="en-US"/>
              </w:rPr>
              <w:t>nance obligations</w:t>
            </w:r>
            <w:r>
              <w:rPr>
                <w:rFonts w:ascii="Calibri" w:hAnsi="Calibri" w:cs="Calibri"/>
                <w:b/>
                <w:bCs/>
                <w:szCs w:val="24"/>
                <w:lang w:val="en-US"/>
              </w:rPr>
              <w:t xml:space="preserve"> (0% RSF factor)</w:t>
            </w:r>
          </w:p>
          <w:p w14:paraId="2DDF5527" w14:textId="316ED8D2" w:rsidR="004E507D" w:rsidRDefault="00E159E0" w:rsidP="004E507D">
            <w:pPr>
              <w:contextualSpacing/>
              <w:rPr>
                <w:rFonts w:ascii="Calibri" w:hAnsi="Calibri" w:cs="Calibri"/>
                <w:szCs w:val="24"/>
              </w:rPr>
            </w:pPr>
            <w:r>
              <w:rPr>
                <w:rFonts w:ascii="Calibri" w:hAnsi="Calibri" w:cs="Calibri"/>
                <w:szCs w:val="24"/>
              </w:rPr>
              <w:t xml:space="preserve">Report </w:t>
            </w:r>
            <w:r w:rsidR="004E507D">
              <w:rPr>
                <w:rFonts w:ascii="Calibri" w:hAnsi="Calibri" w:cs="Calibri"/>
                <w:szCs w:val="24"/>
              </w:rPr>
              <w:t>all other guarantees and letters of credit not covered in RSF.2</w:t>
            </w:r>
            <w:r>
              <w:rPr>
                <w:rFonts w:ascii="Calibri" w:hAnsi="Calibri" w:cs="Calibri"/>
                <w:szCs w:val="24"/>
              </w:rPr>
              <w:t>2</w:t>
            </w:r>
            <w:r w:rsidR="004E507D">
              <w:rPr>
                <w:rFonts w:ascii="Calibri" w:hAnsi="Calibri" w:cs="Calibri"/>
                <w:szCs w:val="24"/>
              </w:rPr>
              <w:t>.</w:t>
            </w:r>
          </w:p>
          <w:p w14:paraId="28DCB078" w14:textId="77777777" w:rsidR="00222FC2" w:rsidRDefault="00222FC2" w:rsidP="00222FC2"/>
        </w:tc>
      </w:tr>
      <w:tr w:rsidR="00222FC2" w14:paraId="65D58AA3" w14:textId="77777777" w:rsidTr="004F18B6">
        <w:trPr>
          <w:trHeight w:val="352"/>
        </w:trPr>
        <w:tc>
          <w:tcPr>
            <w:tcW w:w="988" w:type="dxa"/>
          </w:tcPr>
          <w:p w14:paraId="585F3073" w14:textId="0480BD8B" w:rsidR="00222FC2" w:rsidRPr="00E6642B" w:rsidRDefault="004E507D" w:rsidP="00222FC2">
            <w:r>
              <w:t>RSF.2</w:t>
            </w:r>
            <w:r w:rsidR="00985E28">
              <w:t>4</w:t>
            </w:r>
          </w:p>
        </w:tc>
        <w:tc>
          <w:tcPr>
            <w:tcW w:w="7957" w:type="dxa"/>
          </w:tcPr>
          <w:p w14:paraId="5699F35A" w14:textId="007990EC" w:rsidR="00222FC2" w:rsidRDefault="004E507D" w:rsidP="00222FC2">
            <w:pPr>
              <w:jc w:val="both"/>
              <w:rPr>
                <w:b/>
                <w:bCs/>
              </w:rPr>
            </w:pPr>
            <w:r w:rsidRPr="004E507D">
              <w:rPr>
                <w:b/>
                <w:bCs/>
              </w:rPr>
              <w:t>Non-contractual obligations (0% RSF factor)</w:t>
            </w:r>
          </w:p>
          <w:p w14:paraId="468EE5FB" w14:textId="59F43B63" w:rsidR="00A42749" w:rsidRDefault="00E159E0" w:rsidP="00A42749">
            <w:pPr>
              <w:contextualSpacing/>
              <w:jc w:val="both"/>
              <w:rPr>
                <w:rFonts w:ascii="Calibri" w:hAnsi="Calibri" w:cs="Calibri"/>
                <w:szCs w:val="24"/>
                <w:lang w:val="en-US"/>
              </w:rPr>
            </w:pPr>
            <w:proofErr w:type="gramStart"/>
            <w:r>
              <w:rPr>
                <w:rFonts w:ascii="Calibri" w:hAnsi="Calibri" w:cs="Calibri"/>
                <w:szCs w:val="24"/>
                <w:lang w:val="en-US"/>
              </w:rPr>
              <w:t>Report</w:t>
            </w:r>
            <w:proofErr w:type="gramEnd"/>
            <w:r>
              <w:rPr>
                <w:rFonts w:ascii="Calibri" w:hAnsi="Calibri" w:cs="Calibri"/>
                <w:szCs w:val="24"/>
                <w:lang w:val="en-US"/>
              </w:rPr>
              <w:t xml:space="preserve"> </w:t>
            </w:r>
            <w:r w:rsidR="00A42749">
              <w:rPr>
                <w:rFonts w:ascii="Calibri" w:hAnsi="Calibri" w:cs="Calibri"/>
                <w:szCs w:val="24"/>
                <w:lang w:val="en-US"/>
              </w:rPr>
              <w:t>any other contingent funding obligations such as:</w:t>
            </w:r>
          </w:p>
          <w:p w14:paraId="73199BF5" w14:textId="77777777" w:rsidR="00A42749" w:rsidRDefault="00A42749" w:rsidP="00A42749">
            <w:pPr>
              <w:contextualSpacing/>
              <w:jc w:val="both"/>
              <w:rPr>
                <w:rFonts w:ascii="Calibri" w:hAnsi="Calibri" w:cs="Calibri"/>
                <w:szCs w:val="24"/>
                <w:lang w:val="en-US"/>
              </w:rPr>
            </w:pPr>
          </w:p>
          <w:p w14:paraId="236BE6D4" w14:textId="77777777" w:rsidR="00A42749" w:rsidRDefault="00A42749" w:rsidP="00A42749">
            <w:pPr>
              <w:pStyle w:val="ListParagraph"/>
              <w:numPr>
                <w:ilvl w:val="0"/>
                <w:numId w:val="112"/>
              </w:numPr>
              <w:jc w:val="both"/>
              <w:rPr>
                <w:rFonts w:ascii="Calibri" w:hAnsi="Calibri" w:cs="Calibri"/>
                <w:szCs w:val="24"/>
                <w:lang w:val="en-US"/>
              </w:rPr>
            </w:pPr>
            <w:r w:rsidRPr="00A42749">
              <w:rPr>
                <w:rFonts w:ascii="Calibri" w:hAnsi="Calibri" w:cs="Calibri"/>
                <w:szCs w:val="24"/>
                <w:lang w:val="en-US"/>
              </w:rPr>
              <w:t xml:space="preserve">Potential requests for debt </w:t>
            </w:r>
            <w:proofErr w:type="gramStart"/>
            <w:r w:rsidRPr="00A42749">
              <w:rPr>
                <w:rFonts w:ascii="Calibri" w:hAnsi="Calibri" w:cs="Calibri"/>
                <w:szCs w:val="24"/>
                <w:lang w:val="en-US"/>
              </w:rPr>
              <w:t>repurchases</w:t>
            </w:r>
            <w:proofErr w:type="gramEnd"/>
            <w:r w:rsidRPr="00A42749">
              <w:rPr>
                <w:rFonts w:ascii="Calibri" w:hAnsi="Calibri" w:cs="Calibri"/>
                <w:szCs w:val="24"/>
                <w:lang w:val="en-US"/>
              </w:rPr>
              <w:t xml:space="preserve"> of the bank’s own debt or </w:t>
            </w:r>
            <w:proofErr w:type="gramStart"/>
            <w:r w:rsidRPr="00A42749">
              <w:rPr>
                <w:rFonts w:ascii="Calibri" w:hAnsi="Calibri" w:cs="Calibri"/>
                <w:szCs w:val="24"/>
                <w:lang w:val="en-US"/>
              </w:rPr>
              <w:t>that</w:t>
            </w:r>
            <w:proofErr w:type="gramEnd"/>
            <w:r w:rsidRPr="00A42749">
              <w:rPr>
                <w:rFonts w:ascii="Calibri" w:hAnsi="Calibri" w:cs="Calibri"/>
                <w:szCs w:val="24"/>
                <w:lang w:val="en-US"/>
              </w:rPr>
              <w:t xml:space="preserve"> of related conduits, securities investment vehicles and other such financing </w:t>
            </w:r>
            <w:proofErr w:type="gramStart"/>
            <w:r w:rsidRPr="00A42749">
              <w:rPr>
                <w:rFonts w:ascii="Calibri" w:hAnsi="Calibri" w:cs="Calibri"/>
                <w:szCs w:val="24"/>
                <w:lang w:val="en-US"/>
              </w:rPr>
              <w:t>facilities;</w:t>
            </w:r>
            <w:proofErr w:type="gramEnd"/>
          </w:p>
          <w:p w14:paraId="4ED31B88" w14:textId="1F8757DC" w:rsidR="00A42749" w:rsidRDefault="00A42749" w:rsidP="00A42749">
            <w:pPr>
              <w:pStyle w:val="ListParagraph"/>
              <w:numPr>
                <w:ilvl w:val="0"/>
                <w:numId w:val="112"/>
              </w:numPr>
              <w:jc w:val="both"/>
              <w:rPr>
                <w:rFonts w:ascii="Calibri" w:hAnsi="Calibri" w:cs="Calibri"/>
                <w:szCs w:val="24"/>
                <w:lang w:val="en-US"/>
              </w:rPr>
            </w:pPr>
            <w:r w:rsidRPr="00A42749">
              <w:rPr>
                <w:rFonts w:ascii="Calibri" w:hAnsi="Calibri" w:cs="Calibri"/>
                <w:szCs w:val="24"/>
                <w:lang w:val="en-US"/>
              </w:rPr>
              <w:t>Structured products where customers anticipate ready marketability, such as adjustable-rate notes and variable rate demand notes; and</w:t>
            </w:r>
          </w:p>
          <w:p w14:paraId="2C128EF5" w14:textId="7F675931" w:rsidR="004E507D" w:rsidRPr="00A42749" w:rsidRDefault="00A42749" w:rsidP="00222FC2">
            <w:pPr>
              <w:pStyle w:val="ListParagraph"/>
              <w:numPr>
                <w:ilvl w:val="0"/>
                <w:numId w:val="112"/>
              </w:numPr>
              <w:jc w:val="both"/>
              <w:rPr>
                <w:rFonts w:ascii="Calibri" w:hAnsi="Calibri" w:cs="Calibri"/>
                <w:szCs w:val="24"/>
                <w:lang w:val="en-US"/>
              </w:rPr>
            </w:pPr>
            <w:r w:rsidRPr="00A42749">
              <w:rPr>
                <w:rFonts w:ascii="Calibri" w:hAnsi="Calibri" w:cs="Calibri"/>
                <w:szCs w:val="24"/>
                <w:lang w:val="en-US"/>
              </w:rPr>
              <w:t xml:space="preserve">Managed funds that are marketed with the objective of maintaining </w:t>
            </w:r>
            <w:proofErr w:type="gramStart"/>
            <w:r w:rsidRPr="00A42749">
              <w:rPr>
                <w:rFonts w:ascii="Calibri" w:hAnsi="Calibri" w:cs="Calibri"/>
                <w:szCs w:val="24"/>
                <w:lang w:val="en-US"/>
              </w:rPr>
              <w:t>a stable</w:t>
            </w:r>
            <w:proofErr w:type="gramEnd"/>
            <w:r w:rsidRPr="00A42749">
              <w:rPr>
                <w:rFonts w:ascii="Calibri" w:hAnsi="Calibri" w:cs="Calibri"/>
                <w:szCs w:val="24"/>
                <w:lang w:val="en-US"/>
              </w:rPr>
              <w:t xml:space="preserve"> value.</w:t>
            </w:r>
          </w:p>
          <w:p w14:paraId="56D288C3" w14:textId="76A9421B" w:rsidR="004E507D" w:rsidRDefault="004E507D" w:rsidP="00222FC2">
            <w:pPr>
              <w:jc w:val="both"/>
            </w:pPr>
          </w:p>
        </w:tc>
      </w:tr>
      <w:tr w:rsidR="00222FC2" w14:paraId="1F194C31" w14:textId="77777777" w:rsidTr="004F18B6">
        <w:trPr>
          <w:trHeight w:val="352"/>
        </w:trPr>
        <w:tc>
          <w:tcPr>
            <w:tcW w:w="988" w:type="dxa"/>
          </w:tcPr>
          <w:p w14:paraId="4C347B56" w14:textId="66812696" w:rsidR="00222FC2" w:rsidRPr="00E6642B" w:rsidRDefault="004E507D" w:rsidP="00222FC2">
            <w:pPr>
              <w:jc w:val="both"/>
            </w:pPr>
            <w:r>
              <w:t>RSF.2</w:t>
            </w:r>
            <w:r w:rsidR="00985E28">
              <w:t>5</w:t>
            </w:r>
          </w:p>
        </w:tc>
        <w:tc>
          <w:tcPr>
            <w:tcW w:w="7957" w:type="dxa"/>
          </w:tcPr>
          <w:p w14:paraId="3D865155" w14:textId="3A04B16D" w:rsidR="004E507D" w:rsidRDefault="004E507D" w:rsidP="004E507D">
            <w:pPr>
              <w:contextualSpacing/>
              <w:rPr>
                <w:rFonts w:ascii="Calibri" w:hAnsi="Calibri" w:cs="Calibri"/>
                <w:b/>
                <w:bCs/>
                <w:szCs w:val="24"/>
              </w:rPr>
            </w:pPr>
            <w:r>
              <w:rPr>
                <w:rFonts w:ascii="Calibri" w:hAnsi="Calibri" w:cs="Calibri"/>
                <w:b/>
                <w:bCs/>
                <w:szCs w:val="24"/>
              </w:rPr>
              <w:t>Total RSF – Off Balance Sheet Items</w:t>
            </w:r>
          </w:p>
          <w:p w14:paraId="64EB0849" w14:textId="67AD3C94" w:rsidR="004E507D" w:rsidRPr="00E052F9" w:rsidRDefault="004E507D" w:rsidP="004E507D">
            <w:pPr>
              <w:contextualSpacing/>
              <w:rPr>
                <w:rFonts w:ascii="Calibri" w:hAnsi="Calibri" w:cs="Calibri"/>
                <w:szCs w:val="24"/>
              </w:rPr>
            </w:pPr>
            <w:r w:rsidRPr="00E052F9">
              <w:rPr>
                <w:rFonts w:ascii="Calibri" w:hAnsi="Calibri" w:cs="Calibri"/>
                <w:szCs w:val="24"/>
              </w:rPr>
              <w:t xml:space="preserve">Calculated </w:t>
            </w:r>
            <w:r>
              <w:rPr>
                <w:rFonts w:ascii="Calibri" w:hAnsi="Calibri" w:cs="Calibri"/>
                <w:szCs w:val="24"/>
              </w:rPr>
              <w:t xml:space="preserve">automatically </w:t>
            </w:r>
            <w:r w:rsidRPr="00E052F9">
              <w:rPr>
                <w:rFonts w:ascii="Calibri" w:hAnsi="Calibri" w:cs="Calibri"/>
                <w:szCs w:val="24"/>
              </w:rPr>
              <w:t>as the sum of Items RSF.</w:t>
            </w:r>
            <w:r>
              <w:rPr>
                <w:rFonts w:ascii="Calibri" w:hAnsi="Calibri" w:cs="Calibri"/>
                <w:szCs w:val="24"/>
              </w:rPr>
              <w:t>2</w:t>
            </w:r>
            <w:r w:rsidR="00513B21">
              <w:rPr>
                <w:rFonts w:ascii="Calibri" w:hAnsi="Calibri" w:cs="Calibri"/>
                <w:szCs w:val="24"/>
              </w:rPr>
              <w:t>0</w:t>
            </w:r>
            <w:r w:rsidRPr="00E052F9">
              <w:rPr>
                <w:rFonts w:ascii="Calibri" w:hAnsi="Calibri" w:cs="Calibri"/>
                <w:szCs w:val="24"/>
              </w:rPr>
              <w:t xml:space="preserve"> to RSF.2</w:t>
            </w:r>
            <w:r w:rsidR="00513B21">
              <w:rPr>
                <w:rFonts w:ascii="Calibri" w:hAnsi="Calibri" w:cs="Calibri"/>
                <w:szCs w:val="24"/>
              </w:rPr>
              <w:t>4</w:t>
            </w:r>
            <w:r w:rsidRPr="00E052F9">
              <w:rPr>
                <w:rFonts w:ascii="Calibri" w:hAnsi="Calibri" w:cs="Calibri"/>
                <w:szCs w:val="24"/>
              </w:rPr>
              <w:t>.</w:t>
            </w:r>
          </w:p>
          <w:p w14:paraId="146C7035" w14:textId="77777777" w:rsidR="00222FC2" w:rsidRDefault="00222FC2" w:rsidP="00222FC2">
            <w:pPr>
              <w:contextualSpacing/>
              <w:jc w:val="both"/>
            </w:pPr>
          </w:p>
        </w:tc>
      </w:tr>
      <w:tr w:rsidR="00A42749" w14:paraId="07201C16" w14:textId="77777777" w:rsidTr="00A42749">
        <w:trPr>
          <w:trHeight w:val="352"/>
        </w:trPr>
        <w:tc>
          <w:tcPr>
            <w:tcW w:w="8945" w:type="dxa"/>
            <w:gridSpan w:val="2"/>
            <w:shd w:val="clear" w:color="auto" w:fill="005782"/>
          </w:tcPr>
          <w:p w14:paraId="17E35427" w14:textId="08E3CE00" w:rsidR="00A42749" w:rsidRDefault="001E32B0" w:rsidP="001E32B0">
            <w:pPr>
              <w:contextualSpacing/>
              <w:jc w:val="center"/>
              <w:rPr>
                <w:rFonts w:ascii="Calibri" w:hAnsi="Calibri" w:cs="Calibri"/>
                <w:b/>
                <w:bCs/>
                <w:szCs w:val="24"/>
              </w:rPr>
            </w:pPr>
            <w:r>
              <w:rPr>
                <w:rFonts w:ascii="Calibri" w:hAnsi="Calibri" w:cs="Calibri"/>
                <w:color w:val="FFFFFF" w:themeColor="background1"/>
                <w:szCs w:val="24"/>
              </w:rPr>
              <w:t>Total RSF</w:t>
            </w:r>
          </w:p>
        </w:tc>
      </w:tr>
      <w:tr w:rsidR="00A42749" w14:paraId="529B4366" w14:textId="77777777" w:rsidTr="004F18B6">
        <w:trPr>
          <w:trHeight w:val="352"/>
        </w:trPr>
        <w:tc>
          <w:tcPr>
            <w:tcW w:w="988" w:type="dxa"/>
          </w:tcPr>
          <w:p w14:paraId="27A0E085" w14:textId="7BF9E56F" w:rsidR="00A42749" w:rsidRDefault="00A42749" w:rsidP="00A42749">
            <w:pPr>
              <w:jc w:val="both"/>
            </w:pPr>
            <w:r>
              <w:t>RSF.2</w:t>
            </w:r>
            <w:r w:rsidR="00985E28">
              <w:t>6</w:t>
            </w:r>
          </w:p>
        </w:tc>
        <w:tc>
          <w:tcPr>
            <w:tcW w:w="7957" w:type="dxa"/>
          </w:tcPr>
          <w:p w14:paraId="4AB06695" w14:textId="3278F0FE" w:rsidR="001E32B0" w:rsidRDefault="001E32B0" w:rsidP="001E32B0">
            <w:pPr>
              <w:contextualSpacing/>
              <w:rPr>
                <w:rFonts w:ascii="Calibri" w:hAnsi="Calibri" w:cs="Calibri"/>
                <w:b/>
                <w:bCs/>
                <w:szCs w:val="24"/>
              </w:rPr>
            </w:pPr>
            <w:r>
              <w:rPr>
                <w:rFonts w:ascii="Calibri" w:hAnsi="Calibri" w:cs="Calibri"/>
                <w:b/>
                <w:bCs/>
                <w:szCs w:val="24"/>
              </w:rPr>
              <w:t>Total Required Stable Funding</w:t>
            </w:r>
          </w:p>
          <w:p w14:paraId="76A0FDA0" w14:textId="77777777" w:rsidR="0083739B" w:rsidRDefault="001E32B0" w:rsidP="00A42749">
            <w:pPr>
              <w:contextualSpacing/>
              <w:rPr>
                <w:rFonts w:ascii="Calibri" w:hAnsi="Calibri" w:cs="Calibri"/>
                <w:szCs w:val="24"/>
              </w:rPr>
            </w:pPr>
            <w:r>
              <w:rPr>
                <w:rFonts w:ascii="Calibri" w:hAnsi="Calibri" w:cs="Calibri"/>
                <w:szCs w:val="24"/>
              </w:rPr>
              <w:t>Calculated automatically as the sum of RSF.</w:t>
            </w:r>
            <w:r w:rsidR="00513B21">
              <w:rPr>
                <w:rFonts w:ascii="Calibri" w:hAnsi="Calibri" w:cs="Calibri"/>
                <w:szCs w:val="24"/>
              </w:rPr>
              <w:t>19</w:t>
            </w:r>
            <w:r>
              <w:rPr>
                <w:rFonts w:ascii="Calibri" w:hAnsi="Calibri" w:cs="Calibri"/>
                <w:szCs w:val="24"/>
              </w:rPr>
              <w:t xml:space="preserve"> and RSF.2</w:t>
            </w:r>
            <w:r w:rsidR="00513B21">
              <w:rPr>
                <w:rFonts w:ascii="Calibri" w:hAnsi="Calibri" w:cs="Calibri"/>
                <w:szCs w:val="24"/>
              </w:rPr>
              <w:t>5</w:t>
            </w:r>
          </w:p>
          <w:p w14:paraId="61D20F21" w14:textId="7413562E" w:rsidR="0083739B" w:rsidRPr="0083739B" w:rsidRDefault="0083739B" w:rsidP="00A42749">
            <w:pPr>
              <w:contextualSpacing/>
              <w:rPr>
                <w:rFonts w:ascii="Calibri" w:hAnsi="Calibri" w:cs="Calibri"/>
                <w:szCs w:val="24"/>
              </w:rPr>
            </w:pPr>
          </w:p>
        </w:tc>
      </w:tr>
    </w:tbl>
    <w:p w14:paraId="1BB03B15" w14:textId="77777777" w:rsidR="00222FC2" w:rsidRPr="00222FC2" w:rsidRDefault="00222FC2" w:rsidP="00222FC2"/>
    <w:p w14:paraId="788F7EA1" w14:textId="359EA0AA" w:rsidR="00F54C19" w:rsidRPr="0051435D" w:rsidRDefault="00222FC2" w:rsidP="00374149">
      <w:pPr>
        <w:pStyle w:val="Heading1"/>
        <w:numPr>
          <w:ilvl w:val="0"/>
          <w:numId w:val="7"/>
        </w:numPr>
        <w:spacing w:before="240"/>
        <w:rPr>
          <w:color w:val="005782"/>
        </w:rPr>
      </w:pPr>
      <w:bookmarkStart w:id="12" w:name="_Toc201849536"/>
      <w:r>
        <w:rPr>
          <w:color w:val="005782"/>
        </w:rPr>
        <w:t>NSFR Calculation</w:t>
      </w:r>
      <w:bookmarkEnd w:id="12"/>
    </w:p>
    <w:tbl>
      <w:tblPr>
        <w:tblStyle w:val="TableGrid"/>
        <w:tblW w:w="8945" w:type="dxa"/>
        <w:tblBorders>
          <w:top w:val="single" w:sz="4" w:space="0" w:color="775431"/>
          <w:left w:val="single" w:sz="4" w:space="0" w:color="775431"/>
          <w:bottom w:val="single" w:sz="4" w:space="0" w:color="775431"/>
          <w:right w:val="single" w:sz="4" w:space="0" w:color="775431"/>
          <w:insideH w:val="single" w:sz="4" w:space="0" w:color="775431"/>
          <w:insideV w:val="single" w:sz="4" w:space="0" w:color="775431"/>
        </w:tblBorders>
        <w:tblLook w:val="04A0" w:firstRow="1" w:lastRow="0" w:firstColumn="1" w:lastColumn="0" w:noHBand="0" w:noVBand="1"/>
      </w:tblPr>
      <w:tblGrid>
        <w:gridCol w:w="988"/>
        <w:gridCol w:w="7957"/>
      </w:tblGrid>
      <w:tr w:rsidR="00F939E8" w:rsidRPr="00F939E8" w14:paraId="0F05F47B" w14:textId="77777777" w:rsidTr="00B53CEA">
        <w:trPr>
          <w:trHeight w:val="352"/>
        </w:trPr>
        <w:tc>
          <w:tcPr>
            <w:tcW w:w="8945" w:type="dxa"/>
            <w:gridSpan w:val="2"/>
            <w:shd w:val="clear" w:color="auto" w:fill="005782"/>
          </w:tcPr>
          <w:p w14:paraId="76EEF988" w14:textId="77777777" w:rsidR="00F939E8" w:rsidRDefault="00BB33C0" w:rsidP="00F939E8">
            <w:pPr>
              <w:jc w:val="center"/>
              <w:rPr>
                <w:b/>
                <w:bCs/>
                <w:color w:val="FFFFFF" w:themeColor="background1"/>
              </w:rPr>
            </w:pPr>
            <w:r>
              <w:rPr>
                <w:b/>
                <w:bCs/>
                <w:color w:val="FFFFFF" w:themeColor="background1"/>
              </w:rPr>
              <w:t>Net Stable Funding Ratio (NSFR)</w:t>
            </w:r>
          </w:p>
          <w:p w14:paraId="097CAD03" w14:textId="740D00AD" w:rsidR="00BB33C0" w:rsidRPr="00E65667" w:rsidRDefault="00BB33C0" w:rsidP="00F939E8">
            <w:pPr>
              <w:jc w:val="center"/>
              <w:rPr>
                <w:b/>
                <w:bCs/>
                <w:color w:val="FFFFFF" w:themeColor="background1"/>
              </w:rPr>
            </w:pPr>
          </w:p>
        </w:tc>
      </w:tr>
      <w:tr w:rsidR="00284A6C" w14:paraId="0B8D3F72" w14:textId="77777777" w:rsidTr="00D706B7">
        <w:trPr>
          <w:trHeight w:val="352"/>
        </w:trPr>
        <w:tc>
          <w:tcPr>
            <w:tcW w:w="988" w:type="dxa"/>
          </w:tcPr>
          <w:p w14:paraId="464DC5FB" w14:textId="60B8D799" w:rsidR="00284A6C" w:rsidRPr="00E6642B" w:rsidRDefault="00BB33C0" w:rsidP="002637DB">
            <w:r>
              <w:t>NSFR</w:t>
            </w:r>
          </w:p>
        </w:tc>
        <w:tc>
          <w:tcPr>
            <w:tcW w:w="7957" w:type="dxa"/>
          </w:tcPr>
          <w:p w14:paraId="2727B1A1" w14:textId="77777777" w:rsidR="00C30568" w:rsidRPr="00BB33C0" w:rsidRDefault="00BB33C0" w:rsidP="002637DB">
            <w:pPr>
              <w:jc w:val="both"/>
              <w:rPr>
                <w:b/>
                <w:bCs/>
              </w:rPr>
            </w:pPr>
            <w:r w:rsidRPr="00BB33C0">
              <w:rPr>
                <w:b/>
                <w:bCs/>
              </w:rPr>
              <w:t>Net Stable Funding Ratio</w:t>
            </w:r>
          </w:p>
          <w:p w14:paraId="35D6EAA5" w14:textId="77777777" w:rsidR="00BB33C0" w:rsidRDefault="0045069D" w:rsidP="002637DB">
            <w:pPr>
              <w:jc w:val="both"/>
            </w:pPr>
            <w:r>
              <w:t>Calculated automatically as Item ASF.14 (Total Available Stable Funding) divided by Item RSF.2</w:t>
            </w:r>
            <w:r w:rsidR="00513B21">
              <w:t>6</w:t>
            </w:r>
            <w:r>
              <w:t xml:space="preserve"> (Total Required Stable Funding), expressed as a percentage.</w:t>
            </w:r>
          </w:p>
          <w:p w14:paraId="125CC20E" w14:textId="06CE21D3" w:rsidR="0083739B" w:rsidRDefault="0083739B" w:rsidP="002637DB">
            <w:pPr>
              <w:jc w:val="both"/>
            </w:pPr>
          </w:p>
        </w:tc>
      </w:tr>
    </w:tbl>
    <w:p w14:paraId="298DB224" w14:textId="77777777" w:rsidR="0083739B" w:rsidRPr="0083739B" w:rsidRDefault="0083739B" w:rsidP="0083739B"/>
    <w:p w14:paraId="51602A0A" w14:textId="49A712EC" w:rsidR="00E13C44" w:rsidRDefault="00E13C44" w:rsidP="00FF05F4">
      <w:pPr>
        <w:pStyle w:val="Heading1"/>
        <w:numPr>
          <w:ilvl w:val="0"/>
          <w:numId w:val="0"/>
        </w:numPr>
        <w:spacing w:after="0" w:line="240" w:lineRule="auto"/>
        <w:ind w:left="432" w:hanging="432"/>
        <w:jc w:val="both"/>
        <w:rPr>
          <w:rFonts w:ascii="Calibri" w:hAnsi="Calibri" w:cs="Calibri"/>
          <w:bCs/>
          <w:color w:val="005782"/>
          <w:szCs w:val="24"/>
        </w:rPr>
      </w:pPr>
      <w:bookmarkStart w:id="13" w:name="_Toc201849537"/>
      <w:r w:rsidRPr="004034A0">
        <w:rPr>
          <w:color w:val="005782"/>
        </w:rPr>
        <w:lastRenderedPageBreak/>
        <w:t>Annex A</w:t>
      </w:r>
      <w:r w:rsidR="00304EB5" w:rsidRPr="004034A0">
        <w:rPr>
          <w:color w:val="005782"/>
        </w:rPr>
        <w:t xml:space="preserve"> </w:t>
      </w:r>
      <w:r w:rsidR="002A566C">
        <w:rPr>
          <w:color w:val="005782"/>
        </w:rPr>
        <w:t>–</w:t>
      </w:r>
      <w:r w:rsidR="00304EB5" w:rsidRPr="004034A0">
        <w:rPr>
          <w:color w:val="005782"/>
        </w:rPr>
        <w:t xml:space="preserve"> </w:t>
      </w:r>
      <w:r w:rsidR="002A566C">
        <w:rPr>
          <w:rFonts w:ascii="Calibri" w:hAnsi="Calibri" w:cs="Calibri"/>
          <w:bCs/>
          <w:color w:val="005782"/>
          <w:szCs w:val="24"/>
        </w:rPr>
        <w:t>Treatment of</w:t>
      </w:r>
      <w:r w:rsidR="002A566C" w:rsidRPr="000F3B35">
        <w:rPr>
          <w:rFonts w:ascii="Calibri" w:hAnsi="Calibri" w:cs="Calibri"/>
          <w:bCs/>
          <w:color w:val="005782"/>
          <w:szCs w:val="24"/>
        </w:rPr>
        <w:t xml:space="preserve"> Derivatives</w:t>
      </w:r>
      <w:bookmarkEnd w:id="13"/>
    </w:p>
    <w:p w14:paraId="0122E23E" w14:textId="77777777" w:rsidR="002A566C" w:rsidRDefault="002A566C" w:rsidP="002A566C">
      <w:pPr>
        <w:contextualSpacing/>
        <w:rPr>
          <w:szCs w:val="24"/>
        </w:rPr>
      </w:pPr>
    </w:p>
    <w:p w14:paraId="324E03C5" w14:textId="1452484D" w:rsidR="002A566C" w:rsidRDefault="002A566C" w:rsidP="00BB33C0">
      <w:pPr>
        <w:contextualSpacing/>
        <w:jc w:val="both"/>
        <w:rPr>
          <w:szCs w:val="24"/>
        </w:rPr>
      </w:pPr>
      <w:r w:rsidRPr="007865FD">
        <w:rPr>
          <w:szCs w:val="24"/>
        </w:rPr>
        <w:t xml:space="preserve">This Annex is relevant to the calculation of the </w:t>
      </w:r>
      <w:r w:rsidR="000F3B35" w:rsidRPr="007865FD">
        <w:rPr>
          <w:szCs w:val="24"/>
        </w:rPr>
        <w:t>amount (</w:t>
      </w:r>
      <w:r w:rsidRPr="007865FD">
        <w:rPr>
          <w:szCs w:val="24"/>
        </w:rPr>
        <w:t>carrying values</w:t>
      </w:r>
      <w:r w:rsidR="000F3B35" w:rsidRPr="007865FD">
        <w:rPr>
          <w:szCs w:val="24"/>
        </w:rPr>
        <w:t>)</w:t>
      </w:r>
      <w:r w:rsidRPr="007865FD">
        <w:rPr>
          <w:szCs w:val="24"/>
        </w:rPr>
        <w:t xml:space="preserve"> for Items</w:t>
      </w:r>
      <w:r w:rsidR="000F3B35" w:rsidRPr="007865FD">
        <w:rPr>
          <w:szCs w:val="24"/>
        </w:rPr>
        <w:t xml:space="preserve"> ASF</w:t>
      </w:r>
      <w:r w:rsidR="007865FD" w:rsidRPr="007865FD">
        <w:rPr>
          <w:szCs w:val="24"/>
        </w:rPr>
        <w:t>.12</w:t>
      </w:r>
      <w:r w:rsidR="00BB33C0" w:rsidRPr="007865FD">
        <w:rPr>
          <w:szCs w:val="24"/>
        </w:rPr>
        <w:t xml:space="preserve"> and RSF</w:t>
      </w:r>
      <w:r w:rsidR="007865FD" w:rsidRPr="007865FD">
        <w:rPr>
          <w:szCs w:val="24"/>
        </w:rPr>
        <w:t>.18.</w:t>
      </w:r>
    </w:p>
    <w:p w14:paraId="75F36C97" w14:textId="77777777" w:rsidR="002A566C" w:rsidRDefault="002A566C" w:rsidP="002A566C">
      <w:pPr>
        <w:contextualSpacing/>
        <w:rPr>
          <w:szCs w:val="24"/>
        </w:rPr>
      </w:pPr>
    </w:p>
    <w:p w14:paraId="1699C1E6" w14:textId="407BEBD0" w:rsidR="002A566C" w:rsidRPr="000F3B35" w:rsidRDefault="00BB33C0" w:rsidP="002A566C">
      <w:pPr>
        <w:contextualSpacing/>
        <w:rPr>
          <w:b/>
          <w:bCs/>
          <w:color w:val="005782"/>
          <w:szCs w:val="24"/>
        </w:rPr>
      </w:pPr>
      <w:r>
        <w:rPr>
          <w:b/>
          <w:bCs/>
          <w:color w:val="005782"/>
          <w:szCs w:val="24"/>
        </w:rPr>
        <w:t xml:space="preserve">A.1 </w:t>
      </w:r>
      <w:r w:rsidR="002A566C" w:rsidRPr="000F3B35">
        <w:rPr>
          <w:b/>
          <w:bCs/>
          <w:color w:val="005782"/>
          <w:szCs w:val="24"/>
        </w:rPr>
        <w:t>Calculation of Derivative Liability Amounts</w:t>
      </w:r>
    </w:p>
    <w:p w14:paraId="23B0591E" w14:textId="5DBDEA42" w:rsidR="002A566C" w:rsidRPr="000F3B35" w:rsidRDefault="002A566C" w:rsidP="000F3B35">
      <w:pPr>
        <w:contextualSpacing/>
        <w:jc w:val="both"/>
        <w:rPr>
          <w:szCs w:val="24"/>
        </w:rPr>
      </w:pPr>
      <w:r w:rsidRPr="000F3B35">
        <w:rPr>
          <w:szCs w:val="24"/>
        </w:rPr>
        <w:t xml:space="preserve">Derivative liabilities are calculated first based on the replacement cost for derivative contracts (obtained by marking to market) where the contract has a negative value. When an eligible bilateral netting contract is in place that meets the conditions as specified in </w:t>
      </w:r>
      <w:r w:rsidR="00492C7A">
        <w:rPr>
          <w:szCs w:val="24"/>
        </w:rPr>
        <w:t xml:space="preserve">Annex 1  (paragraphs 1 and 2) to Form SR-2D (leverage ratio) </w:t>
      </w:r>
      <w:r w:rsidR="00D35D22">
        <w:rPr>
          <w:szCs w:val="24"/>
        </w:rPr>
        <w:t>(</w:t>
      </w:r>
      <w:r w:rsidR="00492C7A">
        <w:rPr>
          <w:szCs w:val="24"/>
        </w:rPr>
        <w:t xml:space="preserve">as detailed in the </w:t>
      </w:r>
      <w:hyperlink r:id="rId19" w:history="1">
        <w:r w:rsidR="00492C7A" w:rsidRPr="000E4FFC">
          <w:rPr>
            <w:rStyle w:val="Hyperlink"/>
            <w:rFonts w:ascii="Calibri" w:hAnsi="Calibri" w:cs="Calibri"/>
            <w:szCs w:val="24"/>
          </w:rPr>
          <w:t>Guidance Note for Deposit Takers, Quarterly Prudential Returns</w:t>
        </w:r>
      </w:hyperlink>
      <w:r w:rsidR="00492C7A" w:rsidRPr="00492C7A">
        <w:rPr>
          <w:rFonts w:ascii="Calibri" w:hAnsi="Calibri" w:cs="Calibri"/>
          <w:szCs w:val="24"/>
        </w:rPr>
        <w:t xml:space="preserve"> issued October 2017</w:t>
      </w:r>
      <w:r w:rsidR="00D35D22">
        <w:rPr>
          <w:rFonts w:ascii="Calibri" w:hAnsi="Calibri" w:cs="Calibri"/>
          <w:szCs w:val="24"/>
        </w:rPr>
        <w:t>)</w:t>
      </w:r>
      <w:r w:rsidRPr="00492C7A">
        <w:rPr>
          <w:szCs w:val="24"/>
        </w:rPr>
        <w:t>,</w:t>
      </w:r>
      <w:r w:rsidRPr="000F3B35">
        <w:rPr>
          <w:szCs w:val="24"/>
        </w:rPr>
        <w:t xml:space="preserve"> the replacement cost for the set of derivative exposures covered by the contract must be the net replacement cost.</w:t>
      </w:r>
    </w:p>
    <w:p w14:paraId="088E8A16" w14:textId="77777777" w:rsidR="00492C7A" w:rsidRPr="000F3B35" w:rsidRDefault="00492C7A" w:rsidP="000F3B35">
      <w:pPr>
        <w:contextualSpacing/>
        <w:jc w:val="both"/>
        <w:rPr>
          <w:szCs w:val="24"/>
        </w:rPr>
      </w:pPr>
    </w:p>
    <w:p w14:paraId="1D19523B" w14:textId="283009A7" w:rsidR="002A566C" w:rsidRPr="000F3B35" w:rsidRDefault="002A566C" w:rsidP="000F3B35">
      <w:pPr>
        <w:contextualSpacing/>
        <w:jc w:val="both"/>
        <w:rPr>
          <w:szCs w:val="24"/>
        </w:rPr>
      </w:pPr>
      <w:r w:rsidRPr="000F3B35">
        <w:rPr>
          <w:szCs w:val="24"/>
        </w:rPr>
        <w:t>In calculating derivative liabilities</w:t>
      </w:r>
      <w:r w:rsidR="000F3B35">
        <w:rPr>
          <w:szCs w:val="24"/>
        </w:rPr>
        <w:t xml:space="preserve"> for the NSFR</w:t>
      </w:r>
      <w:r w:rsidRPr="000F3B35">
        <w:rPr>
          <w:szCs w:val="24"/>
        </w:rPr>
        <w:t>, collateral posted in the form of variation margin in connection with derivative contracts, regardless of the asset type, must be deducted from the negative replacement cost amount.</w:t>
      </w:r>
    </w:p>
    <w:p w14:paraId="6F7451FC" w14:textId="77777777" w:rsidR="002A566C" w:rsidRPr="000F3B35" w:rsidRDefault="002A566C" w:rsidP="000F3B35">
      <w:pPr>
        <w:contextualSpacing/>
        <w:jc w:val="both"/>
        <w:rPr>
          <w:szCs w:val="24"/>
        </w:rPr>
      </w:pPr>
    </w:p>
    <w:p w14:paraId="5C7A255C" w14:textId="77777777" w:rsidR="002A566C" w:rsidRPr="000F3B35" w:rsidRDefault="002A566C" w:rsidP="000F3B35">
      <w:pPr>
        <w:contextualSpacing/>
        <w:jc w:val="both"/>
        <w:rPr>
          <w:i/>
          <w:iCs/>
          <w:szCs w:val="24"/>
        </w:rPr>
      </w:pPr>
      <w:r w:rsidRPr="000F3B35">
        <w:rPr>
          <w:i/>
          <w:iCs/>
          <w:szCs w:val="24"/>
        </w:rPr>
        <w:t>Note: NSFR derivative liabilities = (derivative liabilities) – (total collateral posted as variation margin on derivative liabilities).</w:t>
      </w:r>
    </w:p>
    <w:p w14:paraId="54F81B27" w14:textId="77777777" w:rsidR="002A566C" w:rsidRPr="000F3B35" w:rsidRDefault="002A566C" w:rsidP="000F3B35">
      <w:pPr>
        <w:contextualSpacing/>
        <w:jc w:val="both"/>
        <w:rPr>
          <w:i/>
          <w:iCs/>
          <w:szCs w:val="24"/>
        </w:rPr>
      </w:pPr>
    </w:p>
    <w:p w14:paraId="4D36941D" w14:textId="529B7C9B" w:rsidR="002A566C" w:rsidRPr="000F3B35" w:rsidRDefault="002A566C" w:rsidP="000F3B35">
      <w:pPr>
        <w:contextualSpacing/>
        <w:jc w:val="both"/>
        <w:rPr>
          <w:i/>
          <w:iCs/>
          <w:szCs w:val="24"/>
        </w:rPr>
      </w:pPr>
      <w:r w:rsidRPr="000F3B35">
        <w:rPr>
          <w:i/>
          <w:iCs/>
          <w:szCs w:val="24"/>
        </w:rPr>
        <w:t xml:space="preserve">To the extent that the bank’s accounting framework reflects on balance sheet, in connection with a derivative contract, an asset associated with collateral posted as variation margin that is deducted from the replacement cost amount for purposes of the NSFR, that asset should not be included in the calculation of a bank’s RSF to avoid any </w:t>
      </w:r>
      <w:proofErr w:type="gramStart"/>
      <w:r w:rsidRPr="000F3B35">
        <w:rPr>
          <w:i/>
          <w:iCs/>
          <w:szCs w:val="24"/>
        </w:rPr>
        <w:t>double-counting</w:t>
      </w:r>
      <w:proofErr w:type="gramEnd"/>
      <w:r w:rsidRPr="000F3B35">
        <w:rPr>
          <w:i/>
          <w:iCs/>
          <w:szCs w:val="24"/>
        </w:rPr>
        <w:t>.</w:t>
      </w:r>
    </w:p>
    <w:p w14:paraId="41DCFA6C" w14:textId="77777777" w:rsidR="002A566C" w:rsidRDefault="002A566C" w:rsidP="002A566C">
      <w:pPr>
        <w:contextualSpacing/>
        <w:rPr>
          <w:szCs w:val="24"/>
        </w:rPr>
      </w:pPr>
    </w:p>
    <w:p w14:paraId="557FCB90" w14:textId="284B0D99" w:rsidR="002A566C" w:rsidRPr="000F3B35" w:rsidRDefault="00BB33C0" w:rsidP="002A566C">
      <w:pPr>
        <w:contextualSpacing/>
        <w:rPr>
          <w:b/>
          <w:bCs/>
          <w:color w:val="005782"/>
          <w:szCs w:val="24"/>
        </w:rPr>
      </w:pPr>
      <w:r>
        <w:rPr>
          <w:b/>
          <w:bCs/>
          <w:color w:val="005782"/>
          <w:szCs w:val="24"/>
        </w:rPr>
        <w:t xml:space="preserve">A.2 </w:t>
      </w:r>
      <w:r w:rsidR="002A566C" w:rsidRPr="000F3B35">
        <w:rPr>
          <w:b/>
          <w:bCs/>
          <w:color w:val="005782"/>
          <w:szCs w:val="24"/>
        </w:rPr>
        <w:t>Calculation of Derivative Asset Amounts</w:t>
      </w:r>
    </w:p>
    <w:p w14:paraId="22B13459" w14:textId="19B17FB5" w:rsidR="002A566C" w:rsidRPr="000F3B35" w:rsidRDefault="002A566C" w:rsidP="000F3B35">
      <w:pPr>
        <w:contextualSpacing/>
        <w:jc w:val="both"/>
        <w:rPr>
          <w:szCs w:val="24"/>
        </w:rPr>
      </w:pPr>
      <w:r w:rsidRPr="000F3B35">
        <w:rPr>
          <w:szCs w:val="24"/>
        </w:rPr>
        <w:t xml:space="preserve">Derivative assets are calculated first based on the replacement cost for derivative contracts (obtained by marking to market) where the contract has a positive value. When an eligible bilateral netting contract is in place that meets the conditions as specified </w:t>
      </w:r>
      <w:r w:rsidR="00492C7A">
        <w:rPr>
          <w:szCs w:val="24"/>
        </w:rPr>
        <w:t>above in A.1</w:t>
      </w:r>
      <w:r w:rsidRPr="000F3B35">
        <w:rPr>
          <w:szCs w:val="24"/>
        </w:rPr>
        <w:t xml:space="preserve">, the replacement cost for the set of derivative exposures covered by the contract must be the net replacement cost. </w:t>
      </w:r>
    </w:p>
    <w:p w14:paraId="0331F66E" w14:textId="77777777" w:rsidR="002A566C" w:rsidRDefault="002A566C" w:rsidP="002A566C">
      <w:pPr>
        <w:contextualSpacing/>
        <w:rPr>
          <w:szCs w:val="24"/>
        </w:rPr>
      </w:pPr>
    </w:p>
    <w:p w14:paraId="2EC78100" w14:textId="50B2A32D" w:rsidR="002A566C" w:rsidRDefault="002A566C" w:rsidP="000F3B35">
      <w:pPr>
        <w:contextualSpacing/>
        <w:jc w:val="both"/>
        <w:rPr>
          <w:szCs w:val="24"/>
        </w:rPr>
      </w:pPr>
      <w:r w:rsidRPr="009C61D0">
        <w:rPr>
          <w:szCs w:val="24"/>
        </w:rPr>
        <w:t>In calculating derivative assets</w:t>
      </w:r>
      <w:r w:rsidR="000F3B35">
        <w:rPr>
          <w:szCs w:val="24"/>
        </w:rPr>
        <w:t xml:space="preserve"> for the NSFR</w:t>
      </w:r>
      <w:r w:rsidRPr="009C61D0">
        <w:rPr>
          <w:szCs w:val="24"/>
        </w:rPr>
        <w:t>, collateral received in connection with derivative contracts must not of</w:t>
      </w:r>
      <w:r>
        <w:rPr>
          <w:szCs w:val="24"/>
        </w:rPr>
        <w:t>f</w:t>
      </w:r>
      <w:r w:rsidRPr="009C61D0">
        <w:rPr>
          <w:szCs w:val="24"/>
        </w:rPr>
        <w:t>set the positive replacement cost amount, regardless of whether or not netting is permitted under the bank's operative accounting or risk-based framework, unless it is received in the form of cash variation margin and meets the conditions as specif</w:t>
      </w:r>
      <w:r>
        <w:rPr>
          <w:szCs w:val="24"/>
        </w:rPr>
        <w:t>i</w:t>
      </w:r>
      <w:r w:rsidRPr="009C61D0">
        <w:rPr>
          <w:szCs w:val="24"/>
        </w:rPr>
        <w:t>ed in</w:t>
      </w:r>
      <w:r w:rsidR="008B13F4">
        <w:rPr>
          <w:szCs w:val="24"/>
        </w:rPr>
        <w:t xml:space="preserve"> Item B.4 of Form SR-2D (leverage ratio) </w:t>
      </w:r>
      <w:r w:rsidR="00D35D22">
        <w:rPr>
          <w:szCs w:val="24"/>
        </w:rPr>
        <w:t>(</w:t>
      </w:r>
      <w:r w:rsidR="008B13F4">
        <w:rPr>
          <w:szCs w:val="24"/>
        </w:rPr>
        <w:t xml:space="preserve">as detailed in the </w:t>
      </w:r>
      <w:hyperlink r:id="rId20" w:history="1">
        <w:r w:rsidR="008B13F4" w:rsidRPr="000E4FFC">
          <w:rPr>
            <w:rStyle w:val="Hyperlink"/>
            <w:rFonts w:ascii="Calibri" w:hAnsi="Calibri" w:cs="Calibri"/>
            <w:szCs w:val="24"/>
          </w:rPr>
          <w:t>Guidance Note for Deposit Takers, Quarterly Prudential Returns</w:t>
        </w:r>
      </w:hyperlink>
      <w:r w:rsidR="008B13F4" w:rsidRPr="00492C7A">
        <w:rPr>
          <w:rFonts w:ascii="Calibri" w:hAnsi="Calibri" w:cs="Calibri"/>
          <w:szCs w:val="24"/>
        </w:rPr>
        <w:t xml:space="preserve"> issued October 2017</w:t>
      </w:r>
      <w:r w:rsidR="00D35D22">
        <w:rPr>
          <w:rFonts w:ascii="Calibri" w:hAnsi="Calibri" w:cs="Calibri"/>
          <w:szCs w:val="24"/>
        </w:rPr>
        <w:t>)</w:t>
      </w:r>
      <w:r w:rsidR="008B13F4" w:rsidRPr="008B13F4">
        <w:rPr>
          <w:rStyle w:val="CommentReference"/>
          <w:sz w:val="24"/>
          <w:szCs w:val="24"/>
        </w:rPr>
        <w:t xml:space="preserve"> for</w:t>
      </w:r>
      <w:r w:rsidR="008B13F4">
        <w:rPr>
          <w:rStyle w:val="CommentReference"/>
        </w:rPr>
        <w:t xml:space="preserve"> </w:t>
      </w:r>
      <w:r w:rsidRPr="009C61D0">
        <w:rPr>
          <w:szCs w:val="24"/>
        </w:rPr>
        <w:t>the cash portion of variation margin exchanged between counterparties to be viewed as a form of pre-settlement payment. Any remaining balance sheet liability associated with variation margin received that does not meet the criteria above or initial margin received may not of</w:t>
      </w:r>
      <w:r>
        <w:rPr>
          <w:szCs w:val="24"/>
        </w:rPr>
        <w:t>f</w:t>
      </w:r>
      <w:r w:rsidRPr="009C61D0">
        <w:rPr>
          <w:szCs w:val="24"/>
        </w:rPr>
        <w:t>set derivative assets and should be assigned a 0% ASF factor.</w:t>
      </w:r>
    </w:p>
    <w:p w14:paraId="36ACA8D5" w14:textId="77777777" w:rsidR="002A566C" w:rsidRDefault="002A566C" w:rsidP="002A566C">
      <w:pPr>
        <w:contextualSpacing/>
        <w:rPr>
          <w:szCs w:val="24"/>
        </w:rPr>
      </w:pPr>
    </w:p>
    <w:p w14:paraId="0921DFB7" w14:textId="6F30454D" w:rsidR="008676B6" w:rsidRPr="0083739B" w:rsidRDefault="002A566C" w:rsidP="0083739B">
      <w:pPr>
        <w:contextualSpacing/>
        <w:jc w:val="both"/>
        <w:rPr>
          <w:i/>
          <w:iCs/>
          <w:szCs w:val="24"/>
        </w:rPr>
      </w:pPr>
      <w:r w:rsidRPr="009C61D0">
        <w:rPr>
          <w:i/>
          <w:iCs/>
          <w:szCs w:val="24"/>
        </w:rPr>
        <w:t>Note: NSFR derivative assets = (derivative assets) – (cash collateral received as variation margin on derivative assets)</w:t>
      </w:r>
    </w:p>
    <w:p w14:paraId="5AFA9B18" w14:textId="72943BA9" w:rsidR="00786F10" w:rsidRDefault="00786F10" w:rsidP="00144632">
      <w:pPr>
        <w:pStyle w:val="Heading1"/>
        <w:numPr>
          <w:ilvl w:val="0"/>
          <w:numId w:val="0"/>
        </w:numPr>
        <w:spacing w:after="0" w:line="240" w:lineRule="auto"/>
        <w:ind w:left="432" w:hanging="432"/>
        <w:rPr>
          <w:color w:val="005782"/>
        </w:rPr>
      </w:pPr>
      <w:bookmarkStart w:id="14" w:name="_Toc201849538"/>
      <w:r w:rsidRPr="002011FC">
        <w:rPr>
          <w:color w:val="005782"/>
        </w:rPr>
        <w:lastRenderedPageBreak/>
        <w:t xml:space="preserve">Annex </w:t>
      </w:r>
      <w:r w:rsidR="0020236A">
        <w:rPr>
          <w:color w:val="005782"/>
        </w:rPr>
        <w:t>B</w:t>
      </w:r>
      <w:r w:rsidR="00144632" w:rsidRPr="002011FC">
        <w:rPr>
          <w:color w:val="005782"/>
        </w:rPr>
        <w:t xml:space="preserve"> - </w:t>
      </w:r>
      <w:r w:rsidRPr="002011FC">
        <w:rPr>
          <w:color w:val="005782"/>
        </w:rPr>
        <w:t>Eligible Multilateral Development Banks (MDBs)</w:t>
      </w:r>
      <w:bookmarkEnd w:id="14"/>
    </w:p>
    <w:p w14:paraId="79BFB29B" w14:textId="77777777" w:rsidR="00144632" w:rsidRPr="00144632" w:rsidRDefault="00144632" w:rsidP="00144632"/>
    <w:p w14:paraId="5B1CBC16" w14:textId="77777777" w:rsidR="00786F10" w:rsidRDefault="00786F10" w:rsidP="00786F10">
      <w:pPr>
        <w:rPr>
          <w:rFonts w:ascii="Calibri" w:hAnsi="Calibri" w:cs="Calibri"/>
          <w:szCs w:val="24"/>
        </w:rPr>
      </w:pPr>
      <w:r w:rsidRPr="0045669B">
        <w:rPr>
          <w:rFonts w:ascii="Calibri" w:hAnsi="Calibri" w:cs="Calibri"/>
          <w:szCs w:val="24"/>
        </w:rPr>
        <w:t>List of MDBs that are eligible for a 0% risk weight:</w:t>
      </w:r>
    </w:p>
    <w:p w14:paraId="3B878860" w14:textId="77777777" w:rsidR="00144632" w:rsidRPr="0045669B" w:rsidRDefault="00144632" w:rsidP="00786F10">
      <w:pPr>
        <w:rPr>
          <w:rFonts w:ascii="Calibri" w:hAnsi="Calibri" w:cs="Calibri"/>
          <w:szCs w:val="24"/>
        </w:rPr>
      </w:pPr>
    </w:p>
    <w:p w14:paraId="7868860F" w14:textId="77777777" w:rsidR="00786F10" w:rsidRPr="0045669B" w:rsidRDefault="00786F10" w:rsidP="00837CEB">
      <w:pPr>
        <w:pStyle w:val="ListParagraph"/>
        <w:numPr>
          <w:ilvl w:val="0"/>
          <w:numId w:val="69"/>
        </w:numPr>
        <w:spacing w:line="259" w:lineRule="auto"/>
        <w:rPr>
          <w:rFonts w:ascii="Calibri" w:hAnsi="Calibri" w:cs="Calibri"/>
          <w:szCs w:val="24"/>
        </w:rPr>
      </w:pPr>
      <w:r w:rsidRPr="0045669B">
        <w:rPr>
          <w:rFonts w:ascii="Calibri" w:hAnsi="Calibri" w:cs="Calibri"/>
          <w:szCs w:val="24"/>
        </w:rPr>
        <w:t>the World Bank Group comprising:</w:t>
      </w:r>
    </w:p>
    <w:p w14:paraId="5CEBE722" w14:textId="77777777" w:rsidR="00786F10" w:rsidRPr="00067723" w:rsidRDefault="00786F10" w:rsidP="00837CEB">
      <w:pPr>
        <w:pStyle w:val="ListParagraph"/>
        <w:numPr>
          <w:ilvl w:val="1"/>
          <w:numId w:val="69"/>
        </w:numPr>
        <w:spacing w:line="259" w:lineRule="auto"/>
        <w:rPr>
          <w:rFonts w:ascii="Calibri" w:hAnsi="Calibri" w:cs="Calibri"/>
          <w:szCs w:val="24"/>
        </w:rPr>
      </w:pPr>
      <w:r w:rsidRPr="00067723">
        <w:rPr>
          <w:rFonts w:ascii="Calibri" w:hAnsi="Calibri" w:cs="Calibri"/>
          <w:szCs w:val="24"/>
        </w:rPr>
        <w:t>the International Bank for Reconstruction and Development,</w:t>
      </w:r>
    </w:p>
    <w:p w14:paraId="610EDC97" w14:textId="77777777" w:rsidR="00786F10" w:rsidRPr="00067723" w:rsidRDefault="00786F10" w:rsidP="00837CEB">
      <w:pPr>
        <w:pStyle w:val="ListParagraph"/>
        <w:numPr>
          <w:ilvl w:val="1"/>
          <w:numId w:val="69"/>
        </w:numPr>
        <w:spacing w:line="259" w:lineRule="auto"/>
        <w:rPr>
          <w:rFonts w:ascii="Calibri" w:hAnsi="Calibri" w:cs="Calibri"/>
          <w:szCs w:val="24"/>
        </w:rPr>
      </w:pPr>
      <w:r w:rsidRPr="00067723">
        <w:rPr>
          <w:rFonts w:ascii="Calibri" w:hAnsi="Calibri" w:cs="Calibri"/>
          <w:szCs w:val="24"/>
        </w:rPr>
        <w:t>the International Finance Corporation,</w:t>
      </w:r>
    </w:p>
    <w:p w14:paraId="12317383" w14:textId="4F0DB8E8" w:rsidR="00786F10" w:rsidRPr="00067723" w:rsidRDefault="00786F10" w:rsidP="00837CEB">
      <w:pPr>
        <w:pStyle w:val="ListParagraph"/>
        <w:numPr>
          <w:ilvl w:val="1"/>
          <w:numId w:val="69"/>
        </w:numPr>
        <w:spacing w:line="259" w:lineRule="auto"/>
        <w:rPr>
          <w:rFonts w:ascii="Calibri" w:hAnsi="Calibri" w:cs="Calibri"/>
          <w:szCs w:val="24"/>
        </w:rPr>
      </w:pPr>
      <w:r w:rsidRPr="00067723">
        <w:rPr>
          <w:rFonts w:ascii="Calibri" w:hAnsi="Calibri" w:cs="Calibri"/>
          <w:szCs w:val="24"/>
        </w:rPr>
        <w:t>the Multilateral Investment Guarantee Agency,</w:t>
      </w:r>
      <w:r w:rsidR="004C53AF" w:rsidRPr="00067723">
        <w:rPr>
          <w:rFonts w:ascii="Calibri" w:hAnsi="Calibri" w:cs="Calibri"/>
          <w:szCs w:val="24"/>
        </w:rPr>
        <w:t xml:space="preserve"> and</w:t>
      </w:r>
    </w:p>
    <w:p w14:paraId="0E291639" w14:textId="5C7B7405" w:rsidR="00786F10" w:rsidRPr="00067723" w:rsidRDefault="00786F10" w:rsidP="00837CEB">
      <w:pPr>
        <w:pStyle w:val="ListParagraph"/>
        <w:numPr>
          <w:ilvl w:val="1"/>
          <w:numId w:val="69"/>
        </w:numPr>
        <w:spacing w:line="259" w:lineRule="auto"/>
        <w:rPr>
          <w:rFonts w:ascii="Calibri" w:hAnsi="Calibri" w:cs="Calibri"/>
          <w:szCs w:val="24"/>
        </w:rPr>
      </w:pPr>
      <w:r w:rsidRPr="00067723">
        <w:rPr>
          <w:rFonts w:ascii="Calibri" w:hAnsi="Calibri" w:cs="Calibri"/>
          <w:szCs w:val="24"/>
        </w:rPr>
        <w:t>the International Development Association</w:t>
      </w:r>
    </w:p>
    <w:p w14:paraId="7A0EDFBF" w14:textId="77777777" w:rsidR="00786F10" w:rsidRPr="00067723" w:rsidRDefault="00786F10" w:rsidP="00837CEB">
      <w:pPr>
        <w:pStyle w:val="ListParagraph"/>
        <w:numPr>
          <w:ilvl w:val="0"/>
          <w:numId w:val="69"/>
        </w:numPr>
        <w:spacing w:line="259" w:lineRule="auto"/>
        <w:rPr>
          <w:rFonts w:ascii="Calibri" w:hAnsi="Calibri" w:cs="Calibri"/>
          <w:szCs w:val="24"/>
        </w:rPr>
      </w:pPr>
      <w:r w:rsidRPr="00067723">
        <w:rPr>
          <w:rFonts w:ascii="Calibri" w:hAnsi="Calibri" w:cs="Calibri"/>
          <w:szCs w:val="24"/>
        </w:rPr>
        <w:t>Asian Development Bank</w:t>
      </w:r>
    </w:p>
    <w:p w14:paraId="27AAA01E" w14:textId="77777777" w:rsidR="00786F10" w:rsidRPr="00067723" w:rsidRDefault="00786F10" w:rsidP="00837CEB">
      <w:pPr>
        <w:pStyle w:val="ListParagraph"/>
        <w:numPr>
          <w:ilvl w:val="0"/>
          <w:numId w:val="69"/>
        </w:numPr>
        <w:spacing w:line="259" w:lineRule="auto"/>
        <w:rPr>
          <w:rFonts w:ascii="Calibri" w:hAnsi="Calibri" w:cs="Calibri"/>
          <w:szCs w:val="24"/>
        </w:rPr>
      </w:pPr>
      <w:r w:rsidRPr="00067723">
        <w:rPr>
          <w:rFonts w:ascii="Calibri" w:hAnsi="Calibri" w:cs="Calibri"/>
          <w:szCs w:val="24"/>
        </w:rPr>
        <w:t>African Development Bank</w:t>
      </w:r>
    </w:p>
    <w:p w14:paraId="57CD70F2" w14:textId="77777777" w:rsidR="00786F10" w:rsidRPr="00067723" w:rsidRDefault="00786F10" w:rsidP="00837CEB">
      <w:pPr>
        <w:pStyle w:val="ListParagraph"/>
        <w:numPr>
          <w:ilvl w:val="0"/>
          <w:numId w:val="69"/>
        </w:numPr>
        <w:spacing w:line="259" w:lineRule="auto"/>
        <w:rPr>
          <w:rFonts w:ascii="Calibri" w:hAnsi="Calibri" w:cs="Calibri"/>
          <w:szCs w:val="24"/>
        </w:rPr>
      </w:pPr>
      <w:r w:rsidRPr="00067723">
        <w:rPr>
          <w:rFonts w:ascii="Calibri" w:hAnsi="Calibri" w:cs="Calibri"/>
          <w:szCs w:val="24"/>
        </w:rPr>
        <w:t xml:space="preserve">European Bank for Reconstruction and Development </w:t>
      </w:r>
    </w:p>
    <w:p w14:paraId="7F72C9C7" w14:textId="77777777" w:rsidR="00786F10" w:rsidRPr="00067723" w:rsidRDefault="00786F10" w:rsidP="00837CEB">
      <w:pPr>
        <w:pStyle w:val="ListParagraph"/>
        <w:numPr>
          <w:ilvl w:val="0"/>
          <w:numId w:val="69"/>
        </w:numPr>
        <w:spacing w:line="259" w:lineRule="auto"/>
        <w:rPr>
          <w:rFonts w:ascii="Calibri" w:hAnsi="Calibri" w:cs="Calibri"/>
          <w:szCs w:val="24"/>
        </w:rPr>
      </w:pPr>
      <w:r w:rsidRPr="00067723">
        <w:rPr>
          <w:rFonts w:ascii="Calibri" w:hAnsi="Calibri" w:cs="Calibri"/>
          <w:szCs w:val="24"/>
        </w:rPr>
        <w:t>Inter-American Development Bank</w:t>
      </w:r>
    </w:p>
    <w:p w14:paraId="71B3DDA3" w14:textId="77777777" w:rsidR="00786F10" w:rsidRPr="00067723" w:rsidRDefault="00786F10" w:rsidP="00837CEB">
      <w:pPr>
        <w:pStyle w:val="ListParagraph"/>
        <w:numPr>
          <w:ilvl w:val="0"/>
          <w:numId w:val="69"/>
        </w:numPr>
        <w:spacing w:line="259" w:lineRule="auto"/>
        <w:rPr>
          <w:rFonts w:ascii="Calibri" w:hAnsi="Calibri" w:cs="Calibri"/>
          <w:szCs w:val="24"/>
        </w:rPr>
      </w:pPr>
      <w:r w:rsidRPr="00067723">
        <w:rPr>
          <w:rFonts w:ascii="Calibri" w:hAnsi="Calibri" w:cs="Calibri"/>
          <w:szCs w:val="24"/>
        </w:rPr>
        <w:t>European Investment Bank</w:t>
      </w:r>
    </w:p>
    <w:p w14:paraId="1C4AAA48" w14:textId="77777777" w:rsidR="00786F10" w:rsidRPr="00067723" w:rsidRDefault="00786F10" w:rsidP="00837CEB">
      <w:pPr>
        <w:pStyle w:val="ListParagraph"/>
        <w:numPr>
          <w:ilvl w:val="0"/>
          <w:numId w:val="69"/>
        </w:numPr>
        <w:spacing w:line="259" w:lineRule="auto"/>
        <w:rPr>
          <w:rFonts w:ascii="Calibri" w:hAnsi="Calibri" w:cs="Calibri"/>
          <w:szCs w:val="24"/>
        </w:rPr>
      </w:pPr>
      <w:r w:rsidRPr="00067723">
        <w:rPr>
          <w:rFonts w:ascii="Calibri" w:hAnsi="Calibri" w:cs="Calibri"/>
          <w:szCs w:val="24"/>
        </w:rPr>
        <w:t>European Investment Fund</w:t>
      </w:r>
    </w:p>
    <w:p w14:paraId="77734D91" w14:textId="77777777" w:rsidR="00786F10" w:rsidRPr="00067723" w:rsidRDefault="00786F10" w:rsidP="00837CEB">
      <w:pPr>
        <w:pStyle w:val="ListParagraph"/>
        <w:numPr>
          <w:ilvl w:val="0"/>
          <w:numId w:val="69"/>
        </w:numPr>
        <w:spacing w:line="259" w:lineRule="auto"/>
        <w:rPr>
          <w:rFonts w:ascii="Calibri" w:hAnsi="Calibri" w:cs="Calibri"/>
          <w:szCs w:val="24"/>
        </w:rPr>
      </w:pPr>
      <w:r w:rsidRPr="00067723">
        <w:rPr>
          <w:rFonts w:ascii="Calibri" w:hAnsi="Calibri" w:cs="Calibri"/>
          <w:szCs w:val="24"/>
        </w:rPr>
        <w:t>Nordic Investment Bank</w:t>
      </w:r>
    </w:p>
    <w:p w14:paraId="1D73A379" w14:textId="77777777" w:rsidR="00786F10" w:rsidRPr="00067723" w:rsidRDefault="00786F10" w:rsidP="00837CEB">
      <w:pPr>
        <w:pStyle w:val="ListParagraph"/>
        <w:numPr>
          <w:ilvl w:val="0"/>
          <w:numId w:val="69"/>
        </w:numPr>
        <w:spacing w:line="259" w:lineRule="auto"/>
        <w:rPr>
          <w:rFonts w:ascii="Calibri" w:hAnsi="Calibri" w:cs="Calibri"/>
          <w:szCs w:val="24"/>
        </w:rPr>
      </w:pPr>
      <w:r w:rsidRPr="00067723">
        <w:rPr>
          <w:rFonts w:ascii="Calibri" w:hAnsi="Calibri" w:cs="Calibri"/>
          <w:szCs w:val="24"/>
        </w:rPr>
        <w:t>Caribbean Development Bank</w:t>
      </w:r>
    </w:p>
    <w:p w14:paraId="78530CBB" w14:textId="77777777" w:rsidR="00786F10" w:rsidRPr="00067723" w:rsidRDefault="00786F10" w:rsidP="00837CEB">
      <w:pPr>
        <w:pStyle w:val="ListParagraph"/>
        <w:numPr>
          <w:ilvl w:val="0"/>
          <w:numId w:val="69"/>
        </w:numPr>
        <w:spacing w:line="259" w:lineRule="auto"/>
        <w:rPr>
          <w:rFonts w:ascii="Calibri" w:hAnsi="Calibri" w:cs="Calibri"/>
          <w:szCs w:val="24"/>
        </w:rPr>
      </w:pPr>
      <w:r w:rsidRPr="00067723">
        <w:rPr>
          <w:rFonts w:ascii="Calibri" w:hAnsi="Calibri" w:cs="Calibri"/>
          <w:szCs w:val="24"/>
        </w:rPr>
        <w:t>Islamic Development Bank</w:t>
      </w:r>
    </w:p>
    <w:p w14:paraId="251C4F7B" w14:textId="77777777" w:rsidR="00786F10" w:rsidRPr="00067723" w:rsidRDefault="00786F10" w:rsidP="00837CEB">
      <w:pPr>
        <w:pStyle w:val="ListParagraph"/>
        <w:numPr>
          <w:ilvl w:val="0"/>
          <w:numId w:val="69"/>
        </w:numPr>
        <w:spacing w:line="259" w:lineRule="auto"/>
        <w:rPr>
          <w:rFonts w:ascii="Calibri" w:hAnsi="Calibri" w:cs="Calibri"/>
          <w:szCs w:val="24"/>
        </w:rPr>
      </w:pPr>
      <w:r w:rsidRPr="00067723">
        <w:rPr>
          <w:rFonts w:ascii="Calibri" w:hAnsi="Calibri" w:cs="Calibri"/>
          <w:szCs w:val="24"/>
        </w:rPr>
        <w:t>Council of Europe Development Bank</w:t>
      </w:r>
    </w:p>
    <w:p w14:paraId="4A21EABD" w14:textId="77777777" w:rsidR="00786F10" w:rsidRPr="0045669B" w:rsidRDefault="00786F10" w:rsidP="00837CEB">
      <w:pPr>
        <w:pStyle w:val="ListParagraph"/>
        <w:numPr>
          <w:ilvl w:val="0"/>
          <w:numId w:val="69"/>
        </w:numPr>
        <w:spacing w:line="259" w:lineRule="auto"/>
        <w:rPr>
          <w:rFonts w:ascii="Calibri" w:hAnsi="Calibri" w:cs="Calibri"/>
          <w:szCs w:val="24"/>
        </w:rPr>
      </w:pPr>
      <w:r w:rsidRPr="0045669B">
        <w:rPr>
          <w:rFonts w:ascii="Calibri" w:hAnsi="Calibri" w:cs="Calibri"/>
          <w:szCs w:val="24"/>
        </w:rPr>
        <w:t>International Finance Facility for Immunization</w:t>
      </w:r>
    </w:p>
    <w:p w14:paraId="12373253" w14:textId="77777777" w:rsidR="00786F10" w:rsidRDefault="00786F10" w:rsidP="00837CEB">
      <w:pPr>
        <w:pStyle w:val="ListParagraph"/>
        <w:numPr>
          <w:ilvl w:val="0"/>
          <w:numId w:val="69"/>
        </w:numPr>
        <w:spacing w:line="259" w:lineRule="auto"/>
        <w:rPr>
          <w:rFonts w:ascii="Calibri" w:hAnsi="Calibri" w:cs="Calibri"/>
          <w:szCs w:val="24"/>
        </w:rPr>
      </w:pPr>
      <w:r w:rsidRPr="0045669B">
        <w:rPr>
          <w:rFonts w:ascii="Calibri" w:hAnsi="Calibri" w:cs="Calibri"/>
          <w:szCs w:val="24"/>
        </w:rPr>
        <w:t>Asian Infrastructure Investment Bank.</w:t>
      </w:r>
    </w:p>
    <w:p w14:paraId="5A1D1A9E" w14:textId="77777777" w:rsidR="00E922CB" w:rsidRDefault="00E922CB" w:rsidP="00E922CB">
      <w:pPr>
        <w:spacing w:line="259" w:lineRule="auto"/>
        <w:rPr>
          <w:rFonts w:ascii="Calibri" w:hAnsi="Calibri" w:cs="Calibri"/>
          <w:szCs w:val="24"/>
        </w:rPr>
      </w:pPr>
    </w:p>
    <w:p w14:paraId="65E3C961" w14:textId="28CA04D7" w:rsidR="00144632" w:rsidRDefault="00144632">
      <w:pPr>
        <w:rPr>
          <w:rFonts w:ascii="Calibri" w:hAnsi="Calibri" w:cs="Calibri"/>
          <w:szCs w:val="24"/>
        </w:rPr>
      </w:pPr>
    </w:p>
    <w:p w14:paraId="0817D577" w14:textId="77777777" w:rsidR="00E922CB" w:rsidRDefault="00E922CB" w:rsidP="00E922CB">
      <w:pPr>
        <w:rPr>
          <w:rFonts w:ascii="Calibri" w:hAnsi="Calibri" w:cs="Calibri"/>
          <w:szCs w:val="24"/>
        </w:rPr>
      </w:pPr>
    </w:p>
    <w:p w14:paraId="1A1C72CD" w14:textId="0D4DFC19" w:rsidR="004C53AF" w:rsidRDefault="004C53AF">
      <w:pPr>
        <w:rPr>
          <w:rFonts w:ascii="Calibri" w:hAnsi="Calibri" w:cs="Calibri"/>
          <w:b/>
          <w:bCs/>
          <w:szCs w:val="24"/>
        </w:rPr>
      </w:pPr>
    </w:p>
    <w:p w14:paraId="295098F2" w14:textId="77777777" w:rsidR="00805022" w:rsidRDefault="00805022" w:rsidP="00805022">
      <w:pPr>
        <w:contextualSpacing/>
        <w:rPr>
          <w:rFonts w:ascii="Calibri" w:hAnsi="Calibri" w:cs="Calibri"/>
          <w:szCs w:val="24"/>
        </w:rPr>
      </w:pPr>
    </w:p>
    <w:p w14:paraId="623EEA55" w14:textId="77777777" w:rsidR="00266530" w:rsidRPr="0065356A" w:rsidRDefault="00266530" w:rsidP="00F44AA8">
      <w:pPr>
        <w:contextualSpacing/>
        <w:jc w:val="both"/>
        <w:rPr>
          <w:rFonts w:ascii="Calibri" w:hAnsi="Calibri" w:cs="Calibri"/>
          <w:color w:val="000000"/>
          <w:szCs w:val="24"/>
        </w:rPr>
      </w:pPr>
    </w:p>
    <w:p w14:paraId="59EBE6D5" w14:textId="77777777" w:rsidR="00266530" w:rsidRPr="00F246BD" w:rsidRDefault="00266530" w:rsidP="00266530">
      <w:pPr>
        <w:contextualSpacing/>
        <w:rPr>
          <w:rFonts w:ascii="Calibri" w:hAnsi="Calibri" w:cs="Calibri"/>
          <w:color w:val="000000"/>
          <w:szCs w:val="24"/>
          <w:highlight w:val="yellow"/>
        </w:rPr>
      </w:pPr>
    </w:p>
    <w:p w14:paraId="06A3956C" w14:textId="77777777" w:rsidR="00266530" w:rsidRDefault="00266530" w:rsidP="00E922CB">
      <w:pPr>
        <w:rPr>
          <w:rFonts w:ascii="Calibri" w:hAnsi="Calibri" w:cs="Calibri"/>
          <w:b/>
          <w:bCs/>
          <w:szCs w:val="24"/>
        </w:rPr>
      </w:pPr>
    </w:p>
    <w:p w14:paraId="2B36E7CC" w14:textId="77777777" w:rsidR="00E922CB" w:rsidRPr="00E922CB" w:rsidRDefault="00E922CB" w:rsidP="00E922CB">
      <w:pPr>
        <w:spacing w:line="259" w:lineRule="auto"/>
        <w:rPr>
          <w:rFonts w:ascii="Calibri" w:hAnsi="Calibri" w:cs="Calibri"/>
          <w:szCs w:val="24"/>
        </w:rPr>
      </w:pPr>
    </w:p>
    <w:p w14:paraId="2E88B59A" w14:textId="77777777" w:rsidR="00786F10" w:rsidRPr="00B54547" w:rsidRDefault="00786F10" w:rsidP="00E13C44">
      <w:pPr>
        <w:contextualSpacing/>
        <w:rPr>
          <w:rFonts w:ascii="Calibri" w:hAnsi="Calibri" w:cs="Calibri"/>
          <w:szCs w:val="24"/>
        </w:rPr>
      </w:pPr>
    </w:p>
    <w:p w14:paraId="4C69AA39" w14:textId="77777777" w:rsidR="00E13C44" w:rsidRDefault="00E13C44" w:rsidP="00E13C44">
      <w:pPr>
        <w:rPr>
          <w:rFonts w:ascii="Calibri" w:hAnsi="Calibri" w:cs="Calibri"/>
          <w:b/>
          <w:bCs/>
          <w:szCs w:val="24"/>
        </w:rPr>
      </w:pPr>
    </w:p>
    <w:p w14:paraId="0F062828" w14:textId="57F14ED0" w:rsidR="00E13C44" w:rsidRPr="00E13C44" w:rsidRDefault="00E13C44" w:rsidP="00E13C44"/>
    <w:sectPr w:rsidR="00E13C44" w:rsidRPr="00E13C44" w:rsidSect="00E6642B">
      <w:headerReference w:type="default" r:id="rId21"/>
      <w:footerReference w:type="default" r:id="rId22"/>
      <w:headerReference w:type="first" r:id="rId23"/>
      <w:footerReference w:type="first" r:id="rId2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CCE8CE" w14:textId="77777777" w:rsidR="00C02958" w:rsidRDefault="00C02958" w:rsidP="007C158D">
      <w:r>
        <w:separator/>
      </w:r>
    </w:p>
  </w:endnote>
  <w:endnote w:type="continuationSeparator" w:id="0">
    <w:p w14:paraId="0029A288" w14:textId="77777777" w:rsidR="00C02958" w:rsidRDefault="00C02958" w:rsidP="007C1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95980884"/>
      <w:docPartObj>
        <w:docPartGallery w:val="Page Numbers (Bottom of Page)"/>
        <w:docPartUnique/>
      </w:docPartObj>
    </w:sdtPr>
    <w:sdtContent>
      <w:sdt>
        <w:sdtPr>
          <w:id w:val="-1769616900"/>
          <w:docPartObj>
            <w:docPartGallery w:val="Page Numbers (Top of Page)"/>
            <w:docPartUnique/>
          </w:docPartObj>
        </w:sdtPr>
        <w:sdtContent>
          <w:p w14:paraId="2EBEEDD3" w14:textId="3BB9B6E3" w:rsidR="002671D6" w:rsidRDefault="002671D6">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5B7E42">
              <w:rPr>
                <w:b/>
                <w:bCs/>
                <w:noProof/>
              </w:rPr>
              <w:t>8</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5B7E42">
              <w:rPr>
                <w:b/>
                <w:bCs/>
                <w:noProof/>
              </w:rPr>
              <w:t>16</w:t>
            </w:r>
            <w:r>
              <w:rPr>
                <w:b/>
                <w:bCs/>
                <w:szCs w:val="24"/>
              </w:rPr>
              <w:fldChar w:fldCharType="end"/>
            </w:r>
          </w:p>
        </w:sdtContent>
      </w:sdt>
    </w:sdtContent>
  </w:sdt>
  <w:p w14:paraId="6DB68187" w14:textId="77777777" w:rsidR="002671D6" w:rsidRPr="00C47889" w:rsidRDefault="002671D6" w:rsidP="00582E51">
    <w:pPr>
      <w:pStyle w:val="FSAPageNumb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14066567"/>
      <w:docPartObj>
        <w:docPartGallery w:val="Page Numbers (Bottom of Page)"/>
        <w:docPartUnique/>
      </w:docPartObj>
    </w:sdtPr>
    <w:sdtContent>
      <w:sdt>
        <w:sdtPr>
          <w:id w:val="357714027"/>
          <w:docPartObj>
            <w:docPartGallery w:val="Page Numbers (Top of Page)"/>
            <w:docPartUnique/>
          </w:docPartObj>
        </w:sdtPr>
        <w:sdtContent>
          <w:p w14:paraId="501E00DC" w14:textId="0BBA79C2" w:rsidR="002671D6" w:rsidRDefault="002671D6">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5B7E42">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5B7E42">
              <w:rPr>
                <w:b/>
                <w:bCs/>
                <w:noProof/>
              </w:rPr>
              <w:t>16</w:t>
            </w:r>
            <w:r>
              <w:rPr>
                <w:b/>
                <w:bCs/>
                <w:szCs w:val="24"/>
              </w:rPr>
              <w:fldChar w:fldCharType="end"/>
            </w:r>
          </w:p>
        </w:sdtContent>
      </w:sdt>
    </w:sdtContent>
  </w:sdt>
  <w:p w14:paraId="2A13D3C9" w14:textId="77777777" w:rsidR="002671D6" w:rsidRPr="00345644" w:rsidRDefault="002671D6" w:rsidP="00345644">
    <w:pPr>
      <w:pStyle w:val="FSAPageNumb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770997" w14:textId="77777777" w:rsidR="00C02958" w:rsidRDefault="00C02958" w:rsidP="007C158D">
      <w:r>
        <w:separator/>
      </w:r>
    </w:p>
  </w:footnote>
  <w:footnote w:type="continuationSeparator" w:id="0">
    <w:p w14:paraId="258760C4" w14:textId="77777777" w:rsidR="00C02958" w:rsidRDefault="00C02958" w:rsidP="007C158D">
      <w:r>
        <w:continuationSeparator/>
      </w:r>
    </w:p>
  </w:footnote>
  <w:footnote w:id="1">
    <w:p w14:paraId="40373804" w14:textId="060E07D8" w:rsidR="007703ED" w:rsidRDefault="007703ED" w:rsidP="007703ED">
      <w:pPr>
        <w:pStyle w:val="FootnoteText"/>
      </w:pPr>
      <w:r w:rsidRPr="00F57FD0">
        <w:rPr>
          <w:rStyle w:val="FootnoteReference"/>
        </w:rPr>
        <w:footnoteRef/>
      </w:r>
      <w:r w:rsidRPr="00F57FD0">
        <w:t xml:space="preserve"> </w:t>
      </w:r>
      <w:hyperlink r:id="rId1" w:history="1">
        <w:r w:rsidR="00F57FD0" w:rsidRPr="00F57FD0">
          <w:rPr>
            <w:rStyle w:val="Hyperlink"/>
          </w:rPr>
          <w:t>NSF - Net stable funding ratio</w:t>
        </w:r>
      </w:hyperlink>
    </w:p>
  </w:footnote>
  <w:footnote w:id="2">
    <w:p w14:paraId="3E368006" w14:textId="77777777" w:rsidR="00222FC2" w:rsidRPr="00270EA2" w:rsidRDefault="00222FC2" w:rsidP="00222FC2">
      <w:pPr>
        <w:pStyle w:val="FootnoteText"/>
        <w:jc w:val="both"/>
      </w:pPr>
      <w:r>
        <w:rPr>
          <w:rStyle w:val="FootnoteReference"/>
        </w:rPr>
        <w:footnoteRef/>
      </w:r>
      <w:r>
        <w:t xml:space="preserve"> This could reflect a case where a bank may imply that it would be subject to funding risk if it did not exercise an option on its own funding.</w:t>
      </w:r>
    </w:p>
  </w:footnote>
  <w:footnote w:id="3">
    <w:p w14:paraId="2F2D7B19" w14:textId="6180DC7D" w:rsidR="005D5833" w:rsidRDefault="005D5833" w:rsidP="005D5833">
      <w:pPr>
        <w:pStyle w:val="FootnoteText"/>
        <w:jc w:val="both"/>
      </w:pPr>
      <w:r>
        <w:rPr>
          <w:rStyle w:val="FootnoteReference"/>
        </w:rPr>
        <w:footnoteRef/>
      </w:r>
      <w:r>
        <w:t xml:space="preserve"> </w:t>
      </w:r>
      <w:r w:rsidRPr="005D5833">
        <w:t>Encumbered assets include but are not limited to assets backing securities or covered bonds and assets pledged in securities f</w:t>
      </w:r>
      <w:r>
        <w:t>i</w:t>
      </w:r>
      <w:r w:rsidRPr="005D5833">
        <w:t xml:space="preserve">nancing transactions or collateral swaps. </w:t>
      </w:r>
      <w:r w:rsidRPr="00F66A00">
        <w:t>“Unencumbered” is defined in the LCR Reporting Form Guidance.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1366B0" w14:textId="39DAE33D" w:rsidR="002671D6" w:rsidRPr="00560F6F" w:rsidRDefault="00000000" w:rsidP="00507FEC">
    <w:pPr>
      <w:pStyle w:val="Header"/>
      <w:jc w:val="right"/>
      <w:rPr>
        <w:color w:val="005782"/>
        <w:sz w:val="20"/>
        <w:szCs w:val="20"/>
      </w:rPr>
    </w:pPr>
    <w:sdt>
      <w:sdtPr>
        <w:rPr>
          <w:color w:val="775431"/>
          <w:sz w:val="20"/>
          <w:szCs w:val="20"/>
        </w:rPr>
        <w:id w:val="-2063857042"/>
        <w:docPartObj>
          <w:docPartGallery w:val="Watermarks"/>
          <w:docPartUnique/>
        </w:docPartObj>
      </w:sdtPr>
      <w:sdtContent>
        <w:r>
          <w:rPr>
            <w:color w:val="775431"/>
            <w:sz w:val="20"/>
            <w:szCs w:val="20"/>
          </w:rPr>
          <w:pict w14:anchorId="0202F6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2671D6" w:rsidRPr="00560F6F">
      <w:rPr>
        <w:color w:val="005782"/>
        <w:sz w:val="20"/>
        <w:szCs w:val="20"/>
      </w:rPr>
      <w:t>Isle of Man Financial Services Authority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2B42C" w14:textId="3F0225B9" w:rsidR="002671D6" w:rsidRPr="003A33C5" w:rsidRDefault="00D127D9" w:rsidP="003A33C5">
    <w:pPr>
      <w:pStyle w:val="Header"/>
    </w:pPr>
    <w:r>
      <w:rPr>
        <w:rFonts w:ascii="Calibri" w:hAnsi="Calibri"/>
        <w:noProof/>
      </w:rPr>
      <w:drawing>
        <wp:inline distT="0" distB="0" distL="0" distR="0" wp14:anchorId="5B5A921A" wp14:editId="1728EE0F">
          <wp:extent cx="3848100" cy="723520"/>
          <wp:effectExtent l="0" t="0" r="0" b="635"/>
          <wp:docPr id="16650418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7852" cy="72911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04B1E"/>
    <w:multiLevelType w:val="hybridMultilevel"/>
    <w:tmpl w:val="4448D936"/>
    <w:lvl w:ilvl="0" w:tplc="08090001">
      <w:start w:val="1"/>
      <w:numFmt w:val="bullet"/>
      <w:lvlText w:val=""/>
      <w:lvlJc w:val="left"/>
      <w:pPr>
        <w:ind w:left="954" w:hanging="360"/>
      </w:pPr>
      <w:rPr>
        <w:rFonts w:ascii="Symbol" w:hAnsi="Symbol" w:hint="default"/>
      </w:rPr>
    </w:lvl>
    <w:lvl w:ilvl="1" w:tplc="FFFFFFFF">
      <w:start w:val="1"/>
      <w:numFmt w:val="bullet"/>
      <w:lvlText w:val="o"/>
      <w:lvlJc w:val="left"/>
      <w:pPr>
        <w:ind w:left="1674" w:hanging="360"/>
      </w:pPr>
      <w:rPr>
        <w:rFonts w:ascii="Courier New" w:hAnsi="Courier New" w:cs="Courier New" w:hint="default"/>
      </w:rPr>
    </w:lvl>
    <w:lvl w:ilvl="2" w:tplc="FFFFFFFF" w:tentative="1">
      <w:start w:val="1"/>
      <w:numFmt w:val="bullet"/>
      <w:lvlText w:val=""/>
      <w:lvlJc w:val="left"/>
      <w:pPr>
        <w:ind w:left="2394" w:hanging="360"/>
      </w:pPr>
      <w:rPr>
        <w:rFonts w:ascii="Wingdings" w:hAnsi="Wingdings" w:hint="default"/>
      </w:rPr>
    </w:lvl>
    <w:lvl w:ilvl="3" w:tplc="FFFFFFFF" w:tentative="1">
      <w:start w:val="1"/>
      <w:numFmt w:val="bullet"/>
      <w:lvlText w:val=""/>
      <w:lvlJc w:val="left"/>
      <w:pPr>
        <w:ind w:left="3114" w:hanging="360"/>
      </w:pPr>
      <w:rPr>
        <w:rFonts w:ascii="Symbol" w:hAnsi="Symbol" w:hint="default"/>
      </w:rPr>
    </w:lvl>
    <w:lvl w:ilvl="4" w:tplc="FFFFFFFF" w:tentative="1">
      <w:start w:val="1"/>
      <w:numFmt w:val="bullet"/>
      <w:lvlText w:val="o"/>
      <w:lvlJc w:val="left"/>
      <w:pPr>
        <w:ind w:left="3834" w:hanging="360"/>
      </w:pPr>
      <w:rPr>
        <w:rFonts w:ascii="Courier New" w:hAnsi="Courier New" w:cs="Courier New" w:hint="default"/>
      </w:rPr>
    </w:lvl>
    <w:lvl w:ilvl="5" w:tplc="FFFFFFFF" w:tentative="1">
      <w:start w:val="1"/>
      <w:numFmt w:val="bullet"/>
      <w:lvlText w:val=""/>
      <w:lvlJc w:val="left"/>
      <w:pPr>
        <w:ind w:left="4554" w:hanging="360"/>
      </w:pPr>
      <w:rPr>
        <w:rFonts w:ascii="Wingdings" w:hAnsi="Wingdings" w:hint="default"/>
      </w:rPr>
    </w:lvl>
    <w:lvl w:ilvl="6" w:tplc="FFFFFFFF" w:tentative="1">
      <w:start w:val="1"/>
      <w:numFmt w:val="bullet"/>
      <w:lvlText w:val=""/>
      <w:lvlJc w:val="left"/>
      <w:pPr>
        <w:ind w:left="5274" w:hanging="360"/>
      </w:pPr>
      <w:rPr>
        <w:rFonts w:ascii="Symbol" w:hAnsi="Symbol" w:hint="default"/>
      </w:rPr>
    </w:lvl>
    <w:lvl w:ilvl="7" w:tplc="FFFFFFFF" w:tentative="1">
      <w:start w:val="1"/>
      <w:numFmt w:val="bullet"/>
      <w:lvlText w:val="o"/>
      <w:lvlJc w:val="left"/>
      <w:pPr>
        <w:ind w:left="5994" w:hanging="360"/>
      </w:pPr>
      <w:rPr>
        <w:rFonts w:ascii="Courier New" w:hAnsi="Courier New" w:cs="Courier New" w:hint="default"/>
      </w:rPr>
    </w:lvl>
    <w:lvl w:ilvl="8" w:tplc="FFFFFFFF" w:tentative="1">
      <w:start w:val="1"/>
      <w:numFmt w:val="bullet"/>
      <w:lvlText w:val=""/>
      <w:lvlJc w:val="left"/>
      <w:pPr>
        <w:ind w:left="6714" w:hanging="360"/>
      </w:pPr>
      <w:rPr>
        <w:rFonts w:ascii="Wingdings" w:hAnsi="Wingdings" w:hint="default"/>
      </w:rPr>
    </w:lvl>
  </w:abstractNum>
  <w:abstractNum w:abstractNumId="1" w15:restartNumberingAfterBreak="0">
    <w:nsid w:val="015548A4"/>
    <w:multiLevelType w:val="hybridMultilevel"/>
    <w:tmpl w:val="F9E0B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D019AA"/>
    <w:multiLevelType w:val="hybridMultilevel"/>
    <w:tmpl w:val="85E888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39B7A09"/>
    <w:multiLevelType w:val="hybridMultilevel"/>
    <w:tmpl w:val="9ABEFF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3F27A35"/>
    <w:multiLevelType w:val="hybridMultilevel"/>
    <w:tmpl w:val="9ADED0FA"/>
    <w:lvl w:ilvl="0" w:tplc="96E452C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B3E787E"/>
    <w:multiLevelType w:val="hybridMultilevel"/>
    <w:tmpl w:val="963AD362"/>
    <w:lvl w:ilvl="0" w:tplc="08090015">
      <w:start w:val="1"/>
      <w:numFmt w:val="upp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0BDB0CEE"/>
    <w:multiLevelType w:val="hybridMultilevel"/>
    <w:tmpl w:val="8542AECC"/>
    <w:lvl w:ilvl="0" w:tplc="95B84D16">
      <w:start w:val="1"/>
      <w:numFmt w:val="upperLetter"/>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0C3205A3"/>
    <w:multiLevelType w:val="hybridMultilevel"/>
    <w:tmpl w:val="D6BEC6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D8E2592"/>
    <w:multiLevelType w:val="hybridMultilevel"/>
    <w:tmpl w:val="39E21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DA81616"/>
    <w:multiLevelType w:val="hybridMultilevel"/>
    <w:tmpl w:val="156AF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E0F15F1"/>
    <w:multiLevelType w:val="hybridMultilevel"/>
    <w:tmpl w:val="CF34A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E1D10D3"/>
    <w:multiLevelType w:val="hybridMultilevel"/>
    <w:tmpl w:val="B4BAC204"/>
    <w:lvl w:ilvl="0" w:tplc="08090001">
      <w:start w:val="1"/>
      <w:numFmt w:val="bullet"/>
      <w:lvlText w:val=""/>
      <w:lvlJc w:val="left"/>
      <w:pPr>
        <w:ind w:left="41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FAF6933"/>
    <w:multiLevelType w:val="hybridMultilevel"/>
    <w:tmpl w:val="25CE9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16B7152"/>
    <w:multiLevelType w:val="hybridMultilevel"/>
    <w:tmpl w:val="D1BA8438"/>
    <w:lvl w:ilvl="0" w:tplc="F310360C">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12CD752B"/>
    <w:multiLevelType w:val="hybridMultilevel"/>
    <w:tmpl w:val="F35CB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4D14DC0"/>
    <w:multiLevelType w:val="hybridMultilevel"/>
    <w:tmpl w:val="1FA0AC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4EE28A1"/>
    <w:multiLevelType w:val="hybridMultilevel"/>
    <w:tmpl w:val="B8201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6C83EAF"/>
    <w:multiLevelType w:val="hybridMultilevel"/>
    <w:tmpl w:val="E96A06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9563EC3"/>
    <w:multiLevelType w:val="hybridMultilevel"/>
    <w:tmpl w:val="05C00002"/>
    <w:lvl w:ilvl="0" w:tplc="432ECF0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A13105A"/>
    <w:multiLevelType w:val="hybridMultilevel"/>
    <w:tmpl w:val="3DB83A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1A5A1D20"/>
    <w:multiLevelType w:val="hybridMultilevel"/>
    <w:tmpl w:val="287A1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A684989"/>
    <w:multiLevelType w:val="hybridMultilevel"/>
    <w:tmpl w:val="C16E3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B733783"/>
    <w:multiLevelType w:val="hybridMultilevel"/>
    <w:tmpl w:val="BFEAF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BB1132A"/>
    <w:multiLevelType w:val="hybridMultilevel"/>
    <w:tmpl w:val="511E51A6"/>
    <w:lvl w:ilvl="0" w:tplc="2C32EBB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1BBD66A0"/>
    <w:multiLevelType w:val="hybridMultilevel"/>
    <w:tmpl w:val="8ACAF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C4C5579"/>
    <w:multiLevelType w:val="hybridMultilevel"/>
    <w:tmpl w:val="8856C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CC434E1"/>
    <w:multiLevelType w:val="hybridMultilevel"/>
    <w:tmpl w:val="C5EA2E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1D811A9B"/>
    <w:multiLevelType w:val="hybridMultilevel"/>
    <w:tmpl w:val="A1FE20F0"/>
    <w:lvl w:ilvl="0" w:tplc="ADD697F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1E3E57CE"/>
    <w:multiLevelType w:val="hybridMultilevel"/>
    <w:tmpl w:val="0C30D2EA"/>
    <w:lvl w:ilvl="0" w:tplc="89982F9E">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1FD036C8"/>
    <w:multiLevelType w:val="hybridMultilevel"/>
    <w:tmpl w:val="70D4F270"/>
    <w:lvl w:ilvl="0" w:tplc="ADD697F8">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209663CC"/>
    <w:multiLevelType w:val="hybridMultilevel"/>
    <w:tmpl w:val="DF4614B8"/>
    <w:lvl w:ilvl="0" w:tplc="C03E9DB6">
      <w:numFmt w:val="bullet"/>
      <w:lvlText w:val="-"/>
      <w:lvlJc w:val="left"/>
      <w:pPr>
        <w:ind w:left="410" w:hanging="360"/>
      </w:pPr>
      <w:rPr>
        <w:rFonts w:ascii="Calibri" w:eastAsiaTheme="minorHAnsi" w:hAnsi="Calibri" w:cs="Calibri" w:hint="default"/>
      </w:rPr>
    </w:lvl>
    <w:lvl w:ilvl="1" w:tplc="08090003" w:tentative="1">
      <w:start w:val="1"/>
      <w:numFmt w:val="bullet"/>
      <w:lvlText w:val="o"/>
      <w:lvlJc w:val="left"/>
      <w:pPr>
        <w:ind w:left="1130" w:hanging="360"/>
      </w:pPr>
      <w:rPr>
        <w:rFonts w:ascii="Courier New" w:hAnsi="Courier New" w:cs="Courier New" w:hint="default"/>
      </w:rPr>
    </w:lvl>
    <w:lvl w:ilvl="2" w:tplc="08090005" w:tentative="1">
      <w:start w:val="1"/>
      <w:numFmt w:val="bullet"/>
      <w:lvlText w:val=""/>
      <w:lvlJc w:val="left"/>
      <w:pPr>
        <w:ind w:left="1850" w:hanging="360"/>
      </w:pPr>
      <w:rPr>
        <w:rFonts w:ascii="Wingdings" w:hAnsi="Wingdings" w:hint="default"/>
      </w:rPr>
    </w:lvl>
    <w:lvl w:ilvl="3" w:tplc="08090001" w:tentative="1">
      <w:start w:val="1"/>
      <w:numFmt w:val="bullet"/>
      <w:lvlText w:val=""/>
      <w:lvlJc w:val="left"/>
      <w:pPr>
        <w:ind w:left="2570" w:hanging="360"/>
      </w:pPr>
      <w:rPr>
        <w:rFonts w:ascii="Symbol" w:hAnsi="Symbol" w:hint="default"/>
      </w:rPr>
    </w:lvl>
    <w:lvl w:ilvl="4" w:tplc="08090003" w:tentative="1">
      <w:start w:val="1"/>
      <w:numFmt w:val="bullet"/>
      <w:lvlText w:val="o"/>
      <w:lvlJc w:val="left"/>
      <w:pPr>
        <w:ind w:left="3290" w:hanging="360"/>
      </w:pPr>
      <w:rPr>
        <w:rFonts w:ascii="Courier New" w:hAnsi="Courier New" w:cs="Courier New" w:hint="default"/>
      </w:rPr>
    </w:lvl>
    <w:lvl w:ilvl="5" w:tplc="08090005" w:tentative="1">
      <w:start w:val="1"/>
      <w:numFmt w:val="bullet"/>
      <w:lvlText w:val=""/>
      <w:lvlJc w:val="left"/>
      <w:pPr>
        <w:ind w:left="4010" w:hanging="360"/>
      </w:pPr>
      <w:rPr>
        <w:rFonts w:ascii="Wingdings" w:hAnsi="Wingdings" w:hint="default"/>
      </w:rPr>
    </w:lvl>
    <w:lvl w:ilvl="6" w:tplc="08090001" w:tentative="1">
      <w:start w:val="1"/>
      <w:numFmt w:val="bullet"/>
      <w:lvlText w:val=""/>
      <w:lvlJc w:val="left"/>
      <w:pPr>
        <w:ind w:left="4730" w:hanging="360"/>
      </w:pPr>
      <w:rPr>
        <w:rFonts w:ascii="Symbol" w:hAnsi="Symbol" w:hint="default"/>
      </w:rPr>
    </w:lvl>
    <w:lvl w:ilvl="7" w:tplc="08090003" w:tentative="1">
      <w:start w:val="1"/>
      <w:numFmt w:val="bullet"/>
      <w:lvlText w:val="o"/>
      <w:lvlJc w:val="left"/>
      <w:pPr>
        <w:ind w:left="5450" w:hanging="360"/>
      </w:pPr>
      <w:rPr>
        <w:rFonts w:ascii="Courier New" w:hAnsi="Courier New" w:cs="Courier New" w:hint="default"/>
      </w:rPr>
    </w:lvl>
    <w:lvl w:ilvl="8" w:tplc="08090005" w:tentative="1">
      <w:start w:val="1"/>
      <w:numFmt w:val="bullet"/>
      <w:lvlText w:val=""/>
      <w:lvlJc w:val="left"/>
      <w:pPr>
        <w:ind w:left="6170" w:hanging="360"/>
      </w:pPr>
      <w:rPr>
        <w:rFonts w:ascii="Wingdings" w:hAnsi="Wingdings" w:hint="default"/>
      </w:rPr>
    </w:lvl>
  </w:abstractNum>
  <w:abstractNum w:abstractNumId="31" w15:restartNumberingAfterBreak="0">
    <w:nsid w:val="242736A1"/>
    <w:multiLevelType w:val="hybridMultilevel"/>
    <w:tmpl w:val="DFE60CAC"/>
    <w:lvl w:ilvl="0" w:tplc="62C497BA">
      <w:start w:val="1"/>
      <w:numFmt w:val="bullet"/>
      <w:lvlText w:val=""/>
      <w:lvlJc w:val="left"/>
      <w:pPr>
        <w:ind w:left="720" w:hanging="360"/>
      </w:pPr>
      <w:rPr>
        <w:rFonts w:ascii="Symbol" w:hAnsi="Symbol"/>
      </w:rPr>
    </w:lvl>
    <w:lvl w:ilvl="1" w:tplc="66F42EC6">
      <w:start w:val="1"/>
      <w:numFmt w:val="bullet"/>
      <w:lvlText w:val=""/>
      <w:lvlJc w:val="left"/>
      <w:pPr>
        <w:ind w:left="720" w:hanging="360"/>
      </w:pPr>
      <w:rPr>
        <w:rFonts w:ascii="Symbol" w:hAnsi="Symbol"/>
      </w:rPr>
    </w:lvl>
    <w:lvl w:ilvl="2" w:tplc="E62817D0">
      <w:start w:val="1"/>
      <w:numFmt w:val="bullet"/>
      <w:lvlText w:val=""/>
      <w:lvlJc w:val="left"/>
      <w:pPr>
        <w:ind w:left="720" w:hanging="360"/>
      </w:pPr>
      <w:rPr>
        <w:rFonts w:ascii="Symbol" w:hAnsi="Symbol"/>
      </w:rPr>
    </w:lvl>
    <w:lvl w:ilvl="3" w:tplc="E2849384">
      <w:start w:val="1"/>
      <w:numFmt w:val="bullet"/>
      <w:lvlText w:val=""/>
      <w:lvlJc w:val="left"/>
      <w:pPr>
        <w:ind w:left="720" w:hanging="360"/>
      </w:pPr>
      <w:rPr>
        <w:rFonts w:ascii="Symbol" w:hAnsi="Symbol"/>
      </w:rPr>
    </w:lvl>
    <w:lvl w:ilvl="4" w:tplc="A9303066">
      <w:start w:val="1"/>
      <w:numFmt w:val="bullet"/>
      <w:lvlText w:val=""/>
      <w:lvlJc w:val="left"/>
      <w:pPr>
        <w:ind w:left="720" w:hanging="360"/>
      </w:pPr>
      <w:rPr>
        <w:rFonts w:ascii="Symbol" w:hAnsi="Symbol"/>
      </w:rPr>
    </w:lvl>
    <w:lvl w:ilvl="5" w:tplc="38E64B38">
      <w:start w:val="1"/>
      <w:numFmt w:val="bullet"/>
      <w:lvlText w:val=""/>
      <w:lvlJc w:val="left"/>
      <w:pPr>
        <w:ind w:left="720" w:hanging="360"/>
      </w:pPr>
      <w:rPr>
        <w:rFonts w:ascii="Symbol" w:hAnsi="Symbol"/>
      </w:rPr>
    </w:lvl>
    <w:lvl w:ilvl="6" w:tplc="2FFE951A">
      <w:start w:val="1"/>
      <w:numFmt w:val="bullet"/>
      <w:lvlText w:val=""/>
      <w:lvlJc w:val="left"/>
      <w:pPr>
        <w:ind w:left="720" w:hanging="360"/>
      </w:pPr>
      <w:rPr>
        <w:rFonts w:ascii="Symbol" w:hAnsi="Symbol"/>
      </w:rPr>
    </w:lvl>
    <w:lvl w:ilvl="7" w:tplc="98128F78">
      <w:start w:val="1"/>
      <w:numFmt w:val="bullet"/>
      <w:lvlText w:val=""/>
      <w:lvlJc w:val="left"/>
      <w:pPr>
        <w:ind w:left="720" w:hanging="360"/>
      </w:pPr>
      <w:rPr>
        <w:rFonts w:ascii="Symbol" w:hAnsi="Symbol"/>
      </w:rPr>
    </w:lvl>
    <w:lvl w:ilvl="8" w:tplc="8B12C4DE">
      <w:start w:val="1"/>
      <w:numFmt w:val="bullet"/>
      <w:lvlText w:val=""/>
      <w:lvlJc w:val="left"/>
      <w:pPr>
        <w:ind w:left="720" w:hanging="360"/>
      </w:pPr>
      <w:rPr>
        <w:rFonts w:ascii="Symbol" w:hAnsi="Symbol"/>
      </w:rPr>
    </w:lvl>
  </w:abstractNum>
  <w:abstractNum w:abstractNumId="32" w15:restartNumberingAfterBreak="0">
    <w:nsid w:val="257D6191"/>
    <w:multiLevelType w:val="hybridMultilevel"/>
    <w:tmpl w:val="908E1A8A"/>
    <w:lvl w:ilvl="0" w:tplc="252EBFB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26082DBF"/>
    <w:multiLevelType w:val="hybridMultilevel"/>
    <w:tmpl w:val="1FC65E2E"/>
    <w:lvl w:ilvl="0" w:tplc="FFFFFFFF">
      <w:start w:val="1"/>
      <w:numFmt w:val="lowerRoman"/>
      <w:lvlText w:val="(%1)"/>
      <w:lvlJc w:val="left"/>
      <w:pPr>
        <w:ind w:left="1080" w:hanging="72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29DD2ECF"/>
    <w:multiLevelType w:val="hybridMultilevel"/>
    <w:tmpl w:val="030074F8"/>
    <w:lvl w:ilvl="0" w:tplc="468A731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2A66341A"/>
    <w:multiLevelType w:val="hybridMultilevel"/>
    <w:tmpl w:val="1CBE1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2A826D55"/>
    <w:multiLevelType w:val="hybridMultilevel"/>
    <w:tmpl w:val="1FC65E2E"/>
    <w:lvl w:ilvl="0" w:tplc="FFFFFFFF">
      <w:start w:val="1"/>
      <w:numFmt w:val="lowerRoman"/>
      <w:lvlText w:val="(%1)"/>
      <w:lvlJc w:val="left"/>
      <w:pPr>
        <w:ind w:left="1080" w:hanging="72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2B3F3BF0"/>
    <w:multiLevelType w:val="hybridMultilevel"/>
    <w:tmpl w:val="72304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BF47491"/>
    <w:multiLevelType w:val="hybridMultilevel"/>
    <w:tmpl w:val="3E4C4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2BFB740C"/>
    <w:multiLevelType w:val="hybridMultilevel"/>
    <w:tmpl w:val="7E7AB1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2CB84411"/>
    <w:multiLevelType w:val="multilevel"/>
    <w:tmpl w:val="25242B04"/>
    <w:styleLink w:val="Style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1" w15:restartNumberingAfterBreak="0">
    <w:nsid w:val="2D664D91"/>
    <w:multiLevelType w:val="hybridMultilevel"/>
    <w:tmpl w:val="7B76BFAE"/>
    <w:lvl w:ilvl="0" w:tplc="FFFFFFFF">
      <w:start w:val="1"/>
      <w:numFmt w:val="lowerRoman"/>
      <w:lvlText w:val="(%1)"/>
      <w:lvlJc w:val="left"/>
      <w:pPr>
        <w:ind w:left="720" w:hanging="72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2" w15:restartNumberingAfterBreak="0">
    <w:nsid w:val="314449B2"/>
    <w:multiLevelType w:val="hybridMultilevel"/>
    <w:tmpl w:val="7C5EBD58"/>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31E1471C"/>
    <w:multiLevelType w:val="hybridMultilevel"/>
    <w:tmpl w:val="EFEA879C"/>
    <w:lvl w:ilvl="0" w:tplc="4ECEC36C">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4" w15:restartNumberingAfterBreak="0">
    <w:nsid w:val="31FC5998"/>
    <w:multiLevelType w:val="hybridMultilevel"/>
    <w:tmpl w:val="3C62E814"/>
    <w:lvl w:ilvl="0" w:tplc="C8249A9E">
      <w:start w:val="1"/>
      <w:numFmt w:val="lowerRoman"/>
      <w:lvlText w:val="(%1)"/>
      <w:lvlJc w:val="left"/>
      <w:pPr>
        <w:ind w:left="720" w:hanging="72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15:restartNumberingAfterBreak="0">
    <w:nsid w:val="3234454D"/>
    <w:multiLevelType w:val="multilevel"/>
    <w:tmpl w:val="F306B4E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15:restartNumberingAfterBreak="0">
    <w:nsid w:val="3239745C"/>
    <w:multiLevelType w:val="hybridMultilevel"/>
    <w:tmpl w:val="5ADAE988"/>
    <w:lvl w:ilvl="0" w:tplc="ADD697F8">
      <w:start w:val="1"/>
      <w:numFmt w:val="lowerRoman"/>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7" w15:restartNumberingAfterBreak="0">
    <w:nsid w:val="33396248"/>
    <w:multiLevelType w:val="hybridMultilevel"/>
    <w:tmpl w:val="BEC4E81C"/>
    <w:lvl w:ilvl="0" w:tplc="17961E6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341F4666"/>
    <w:multiLevelType w:val="hybridMultilevel"/>
    <w:tmpl w:val="EC840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344F0621"/>
    <w:multiLevelType w:val="hybridMultilevel"/>
    <w:tmpl w:val="9A6478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357B6EF1"/>
    <w:multiLevelType w:val="hybridMultilevel"/>
    <w:tmpl w:val="D626F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3592587A"/>
    <w:multiLevelType w:val="hybridMultilevel"/>
    <w:tmpl w:val="0EC2A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35C803B5"/>
    <w:multiLevelType w:val="hybridMultilevel"/>
    <w:tmpl w:val="C7E64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360516BC"/>
    <w:multiLevelType w:val="hybridMultilevel"/>
    <w:tmpl w:val="9F5CF7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375A3CF6"/>
    <w:multiLevelType w:val="hybridMultilevel"/>
    <w:tmpl w:val="B20E31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37BD7E09"/>
    <w:multiLevelType w:val="hybridMultilevel"/>
    <w:tmpl w:val="EFE24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391173FA"/>
    <w:multiLevelType w:val="hybridMultilevel"/>
    <w:tmpl w:val="2FB0E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3B474AAA"/>
    <w:multiLevelType w:val="hybridMultilevel"/>
    <w:tmpl w:val="C1BE1F32"/>
    <w:lvl w:ilvl="0" w:tplc="DA406E1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3C0D7AC5"/>
    <w:multiLevelType w:val="hybridMultilevel"/>
    <w:tmpl w:val="51E2CBA6"/>
    <w:lvl w:ilvl="0" w:tplc="FFFFFFFF">
      <w:start w:val="1"/>
      <w:numFmt w:val="lowerRoman"/>
      <w:lvlText w:val="(%1)"/>
      <w:lvlJc w:val="left"/>
      <w:pPr>
        <w:ind w:left="720" w:hanging="72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9" w15:restartNumberingAfterBreak="0">
    <w:nsid w:val="3D244E1F"/>
    <w:multiLevelType w:val="hybridMultilevel"/>
    <w:tmpl w:val="58AC1A52"/>
    <w:lvl w:ilvl="0" w:tplc="E0E41D32">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0" w15:restartNumberingAfterBreak="0">
    <w:nsid w:val="3D7909A2"/>
    <w:multiLevelType w:val="hybridMultilevel"/>
    <w:tmpl w:val="5FE40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3D925560"/>
    <w:multiLevelType w:val="hybridMultilevel"/>
    <w:tmpl w:val="22C2EE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3F1F3ECF"/>
    <w:multiLevelType w:val="hybridMultilevel"/>
    <w:tmpl w:val="40FC70D4"/>
    <w:lvl w:ilvl="0" w:tplc="63C85DCE">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3" w15:restartNumberingAfterBreak="0">
    <w:nsid w:val="3F7360A3"/>
    <w:multiLevelType w:val="hybridMultilevel"/>
    <w:tmpl w:val="4C34BE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4" w15:restartNumberingAfterBreak="0">
    <w:nsid w:val="3F851A66"/>
    <w:multiLevelType w:val="hybridMultilevel"/>
    <w:tmpl w:val="C95077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403A3E64"/>
    <w:multiLevelType w:val="hybridMultilevel"/>
    <w:tmpl w:val="9C026F60"/>
    <w:lvl w:ilvl="0" w:tplc="FFFFFFFF">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41023D67"/>
    <w:multiLevelType w:val="hybridMultilevel"/>
    <w:tmpl w:val="9C0616CA"/>
    <w:lvl w:ilvl="0" w:tplc="1158A3A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447878B7"/>
    <w:multiLevelType w:val="hybridMultilevel"/>
    <w:tmpl w:val="A44A4F20"/>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8" w15:restartNumberingAfterBreak="0">
    <w:nsid w:val="448329ED"/>
    <w:multiLevelType w:val="hybridMultilevel"/>
    <w:tmpl w:val="5776D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4605669F"/>
    <w:multiLevelType w:val="hybridMultilevel"/>
    <w:tmpl w:val="56849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475006DD"/>
    <w:multiLevelType w:val="multilevel"/>
    <w:tmpl w:val="F5F6A3A2"/>
    <w:lvl w:ilvl="0">
      <w:start w:val="8"/>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71" w15:restartNumberingAfterBreak="0">
    <w:nsid w:val="4772122E"/>
    <w:multiLevelType w:val="hybridMultilevel"/>
    <w:tmpl w:val="50DC9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48731B05"/>
    <w:multiLevelType w:val="hybridMultilevel"/>
    <w:tmpl w:val="76BC9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48EE04E0"/>
    <w:multiLevelType w:val="hybridMultilevel"/>
    <w:tmpl w:val="64044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4A2D70DF"/>
    <w:multiLevelType w:val="hybridMultilevel"/>
    <w:tmpl w:val="1FC65E2E"/>
    <w:lvl w:ilvl="0" w:tplc="FFFFFFFF">
      <w:start w:val="1"/>
      <w:numFmt w:val="lowerRoman"/>
      <w:lvlText w:val="(%1)"/>
      <w:lvlJc w:val="left"/>
      <w:pPr>
        <w:ind w:left="720" w:hanging="72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5" w15:restartNumberingAfterBreak="0">
    <w:nsid w:val="4AF5556A"/>
    <w:multiLevelType w:val="hybridMultilevel"/>
    <w:tmpl w:val="F8E27A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6" w15:restartNumberingAfterBreak="0">
    <w:nsid w:val="4AFD0540"/>
    <w:multiLevelType w:val="hybridMultilevel"/>
    <w:tmpl w:val="0E4A9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4C8F43FB"/>
    <w:multiLevelType w:val="hybridMultilevel"/>
    <w:tmpl w:val="822E84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15:restartNumberingAfterBreak="0">
    <w:nsid w:val="4EB37181"/>
    <w:multiLevelType w:val="hybridMultilevel"/>
    <w:tmpl w:val="7B76BFAE"/>
    <w:lvl w:ilvl="0" w:tplc="FFFFFFFF">
      <w:start w:val="1"/>
      <w:numFmt w:val="lowerRoman"/>
      <w:lvlText w:val="(%1)"/>
      <w:lvlJc w:val="left"/>
      <w:pPr>
        <w:ind w:left="720" w:hanging="72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9" w15:restartNumberingAfterBreak="0">
    <w:nsid w:val="4F1A52CF"/>
    <w:multiLevelType w:val="hybridMultilevel"/>
    <w:tmpl w:val="4C467D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50F51435"/>
    <w:multiLevelType w:val="hybridMultilevel"/>
    <w:tmpl w:val="E1AC3D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1" w15:restartNumberingAfterBreak="0">
    <w:nsid w:val="551542C7"/>
    <w:multiLevelType w:val="hybridMultilevel"/>
    <w:tmpl w:val="7C5EBD58"/>
    <w:lvl w:ilvl="0" w:tplc="FFFFFFFF">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15:restartNumberingAfterBreak="0">
    <w:nsid w:val="558468A5"/>
    <w:multiLevelType w:val="hybridMultilevel"/>
    <w:tmpl w:val="16528FDE"/>
    <w:lvl w:ilvl="0" w:tplc="FFFFFFFF">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3" w15:restartNumberingAfterBreak="0">
    <w:nsid w:val="57436610"/>
    <w:multiLevelType w:val="hybridMultilevel"/>
    <w:tmpl w:val="824E4E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4" w15:restartNumberingAfterBreak="0">
    <w:nsid w:val="58807BF1"/>
    <w:multiLevelType w:val="multilevel"/>
    <w:tmpl w:val="F622F73E"/>
    <w:lvl w:ilvl="0">
      <w:start w:val="1"/>
      <w:numFmt w:val="decimal"/>
      <w:lvlText w:val="%1."/>
      <w:lvlJc w:val="left"/>
      <w:pPr>
        <w:ind w:left="510" w:hanging="510"/>
      </w:pPr>
    </w:lvl>
    <w:lvl w:ilvl="1">
      <w:start w:val="1"/>
      <w:numFmt w:val="decimal"/>
      <w:lvlText w:val="%1.%2"/>
      <w:lvlJc w:val="left"/>
      <w:pPr>
        <w:ind w:left="652" w:hanging="652"/>
      </w:pPr>
    </w:lvl>
    <w:lvl w:ilvl="2">
      <w:start w:val="1"/>
      <w:numFmt w:val="decimal"/>
      <w:lvlText w:val="%1.%2.%3"/>
      <w:lvlJc w:val="left"/>
      <w:pPr>
        <w:ind w:left="794" w:hanging="794"/>
      </w:pPr>
    </w:lvl>
    <w:lvl w:ilvl="3">
      <w:start w:val="1"/>
      <w:numFmt w:val="decimal"/>
      <w:lvlText w:val="%1.%2.%3.%4"/>
      <w:lvlJc w:val="left"/>
      <w:pPr>
        <w:ind w:left="864" w:hanging="864"/>
      </w:pPr>
      <w:rPr>
        <w:b w:val="0"/>
        <w:i w:val="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5" w15:restartNumberingAfterBreak="0">
    <w:nsid w:val="58F20390"/>
    <w:multiLevelType w:val="hybridMultilevel"/>
    <w:tmpl w:val="952671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6" w15:restartNumberingAfterBreak="0">
    <w:nsid w:val="5DDB6BBF"/>
    <w:multiLevelType w:val="hybridMultilevel"/>
    <w:tmpl w:val="ADF65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5F4A59B7"/>
    <w:multiLevelType w:val="hybridMultilevel"/>
    <w:tmpl w:val="34FAB192"/>
    <w:lvl w:ilvl="0" w:tplc="55C61AB6">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8" w15:restartNumberingAfterBreak="0">
    <w:nsid w:val="60B95B1B"/>
    <w:multiLevelType w:val="hybridMultilevel"/>
    <w:tmpl w:val="C4A47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61AC6050"/>
    <w:multiLevelType w:val="hybridMultilevel"/>
    <w:tmpl w:val="7FD467BE"/>
    <w:lvl w:ilvl="0" w:tplc="FFFFFFFF">
      <w:start w:val="1"/>
      <w:numFmt w:val="lowerRoman"/>
      <w:lvlText w:val="(%1)"/>
      <w:lvlJc w:val="left"/>
      <w:pPr>
        <w:ind w:left="720" w:hanging="72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0" w15:restartNumberingAfterBreak="0">
    <w:nsid w:val="623E3FBE"/>
    <w:multiLevelType w:val="hybridMultilevel"/>
    <w:tmpl w:val="33EC656E"/>
    <w:lvl w:ilvl="0" w:tplc="FFFFFFFF">
      <w:start w:val="1"/>
      <w:numFmt w:val="lowerRoman"/>
      <w:lvlText w:val="(%1)"/>
      <w:lvlJc w:val="left"/>
      <w:pPr>
        <w:ind w:left="1080" w:hanging="72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1" w15:restartNumberingAfterBreak="0">
    <w:nsid w:val="62B87F8A"/>
    <w:multiLevelType w:val="hybridMultilevel"/>
    <w:tmpl w:val="6F324C6A"/>
    <w:lvl w:ilvl="0" w:tplc="E0547DCC">
      <w:start w:val="1"/>
      <w:numFmt w:val="lowerRoman"/>
      <w:lvlText w:val="(%1)"/>
      <w:lvlJc w:val="left"/>
      <w:pPr>
        <w:ind w:left="720" w:hanging="72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2" w15:restartNumberingAfterBreak="0">
    <w:nsid w:val="62F77AC8"/>
    <w:multiLevelType w:val="hybridMultilevel"/>
    <w:tmpl w:val="26620B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3" w15:restartNumberingAfterBreak="0">
    <w:nsid w:val="64C0580B"/>
    <w:multiLevelType w:val="hybridMultilevel"/>
    <w:tmpl w:val="AF642784"/>
    <w:lvl w:ilvl="0" w:tplc="FFFFFFFF">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4" w15:restartNumberingAfterBreak="0">
    <w:nsid w:val="652C209C"/>
    <w:multiLevelType w:val="hybridMultilevel"/>
    <w:tmpl w:val="5C0EF210"/>
    <w:lvl w:ilvl="0" w:tplc="5C0001A4">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5" w15:restartNumberingAfterBreak="0">
    <w:nsid w:val="663F4670"/>
    <w:multiLevelType w:val="hybridMultilevel"/>
    <w:tmpl w:val="28DCCC4A"/>
    <w:lvl w:ilvl="0" w:tplc="7FD804E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6" w15:restartNumberingAfterBreak="0">
    <w:nsid w:val="668B3FBA"/>
    <w:multiLevelType w:val="hybridMultilevel"/>
    <w:tmpl w:val="157C8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690357DB"/>
    <w:multiLevelType w:val="hybridMultilevel"/>
    <w:tmpl w:val="8214C2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8" w15:restartNumberingAfterBreak="0">
    <w:nsid w:val="6A30025C"/>
    <w:multiLevelType w:val="hybridMultilevel"/>
    <w:tmpl w:val="61E60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6B7B1EED"/>
    <w:multiLevelType w:val="hybridMultilevel"/>
    <w:tmpl w:val="27B001CE"/>
    <w:lvl w:ilvl="0" w:tplc="9556A8D6">
      <w:start w:val="1"/>
      <w:numFmt w:val="bullet"/>
      <w:lvlText w:val=""/>
      <w:lvlJc w:val="left"/>
      <w:pPr>
        <w:ind w:left="720" w:hanging="360"/>
      </w:pPr>
      <w:rPr>
        <w:rFonts w:ascii="Symbol" w:hAnsi="Symbol"/>
      </w:rPr>
    </w:lvl>
    <w:lvl w:ilvl="1" w:tplc="944E09A0">
      <w:start w:val="1"/>
      <w:numFmt w:val="bullet"/>
      <w:lvlText w:val=""/>
      <w:lvlJc w:val="left"/>
      <w:pPr>
        <w:ind w:left="720" w:hanging="360"/>
      </w:pPr>
      <w:rPr>
        <w:rFonts w:ascii="Symbol" w:hAnsi="Symbol"/>
      </w:rPr>
    </w:lvl>
    <w:lvl w:ilvl="2" w:tplc="97B6BBB8">
      <w:start w:val="1"/>
      <w:numFmt w:val="bullet"/>
      <w:lvlText w:val=""/>
      <w:lvlJc w:val="left"/>
      <w:pPr>
        <w:ind w:left="720" w:hanging="360"/>
      </w:pPr>
      <w:rPr>
        <w:rFonts w:ascii="Symbol" w:hAnsi="Symbol"/>
      </w:rPr>
    </w:lvl>
    <w:lvl w:ilvl="3" w:tplc="25EE861A">
      <w:start w:val="1"/>
      <w:numFmt w:val="bullet"/>
      <w:lvlText w:val=""/>
      <w:lvlJc w:val="left"/>
      <w:pPr>
        <w:ind w:left="720" w:hanging="360"/>
      </w:pPr>
      <w:rPr>
        <w:rFonts w:ascii="Symbol" w:hAnsi="Symbol"/>
      </w:rPr>
    </w:lvl>
    <w:lvl w:ilvl="4" w:tplc="28F819E4">
      <w:start w:val="1"/>
      <w:numFmt w:val="bullet"/>
      <w:lvlText w:val=""/>
      <w:lvlJc w:val="left"/>
      <w:pPr>
        <w:ind w:left="720" w:hanging="360"/>
      </w:pPr>
      <w:rPr>
        <w:rFonts w:ascii="Symbol" w:hAnsi="Symbol"/>
      </w:rPr>
    </w:lvl>
    <w:lvl w:ilvl="5" w:tplc="8DF2142A">
      <w:start w:val="1"/>
      <w:numFmt w:val="bullet"/>
      <w:lvlText w:val=""/>
      <w:lvlJc w:val="left"/>
      <w:pPr>
        <w:ind w:left="720" w:hanging="360"/>
      </w:pPr>
      <w:rPr>
        <w:rFonts w:ascii="Symbol" w:hAnsi="Symbol"/>
      </w:rPr>
    </w:lvl>
    <w:lvl w:ilvl="6" w:tplc="F2D47222">
      <w:start w:val="1"/>
      <w:numFmt w:val="bullet"/>
      <w:lvlText w:val=""/>
      <w:lvlJc w:val="left"/>
      <w:pPr>
        <w:ind w:left="720" w:hanging="360"/>
      </w:pPr>
      <w:rPr>
        <w:rFonts w:ascii="Symbol" w:hAnsi="Symbol"/>
      </w:rPr>
    </w:lvl>
    <w:lvl w:ilvl="7" w:tplc="F3BC3490">
      <w:start w:val="1"/>
      <w:numFmt w:val="bullet"/>
      <w:lvlText w:val=""/>
      <w:lvlJc w:val="left"/>
      <w:pPr>
        <w:ind w:left="720" w:hanging="360"/>
      </w:pPr>
      <w:rPr>
        <w:rFonts w:ascii="Symbol" w:hAnsi="Symbol"/>
      </w:rPr>
    </w:lvl>
    <w:lvl w:ilvl="8" w:tplc="F1E6C5E6">
      <w:start w:val="1"/>
      <w:numFmt w:val="bullet"/>
      <w:lvlText w:val=""/>
      <w:lvlJc w:val="left"/>
      <w:pPr>
        <w:ind w:left="720" w:hanging="360"/>
      </w:pPr>
      <w:rPr>
        <w:rFonts w:ascii="Symbol" w:hAnsi="Symbol"/>
      </w:rPr>
    </w:lvl>
  </w:abstractNum>
  <w:abstractNum w:abstractNumId="100" w15:restartNumberingAfterBreak="0">
    <w:nsid w:val="6DA77896"/>
    <w:multiLevelType w:val="hybridMultilevel"/>
    <w:tmpl w:val="A78E5EB8"/>
    <w:lvl w:ilvl="0" w:tplc="56EE5B2C">
      <w:start w:val="1"/>
      <w:numFmt w:val="bullet"/>
      <w:lvlText w:val=""/>
      <w:lvlJc w:val="left"/>
      <w:pPr>
        <w:ind w:left="720" w:hanging="360"/>
      </w:pPr>
      <w:rPr>
        <w:rFonts w:ascii="Symbol" w:hAnsi="Symbol"/>
      </w:rPr>
    </w:lvl>
    <w:lvl w:ilvl="1" w:tplc="F9FAB6D6">
      <w:start w:val="1"/>
      <w:numFmt w:val="bullet"/>
      <w:lvlText w:val=""/>
      <w:lvlJc w:val="left"/>
      <w:pPr>
        <w:ind w:left="720" w:hanging="360"/>
      </w:pPr>
      <w:rPr>
        <w:rFonts w:ascii="Symbol" w:hAnsi="Symbol"/>
      </w:rPr>
    </w:lvl>
    <w:lvl w:ilvl="2" w:tplc="D1CC0100">
      <w:start w:val="1"/>
      <w:numFmt w:val="bullet"/>
      <w:lvlText w:val=""/>
      <w:lvlJc w:val="left"/>
      <w:pPr>
        <w:ind w:left="720" w:hanging="360"/>
      </w:pPr>
      <w:rPr>
        <w:rFonts w:ascii="Symbol" w:hAnsi="Symbol"/>
      </w:rPr>
    </w:lvl>
    <w:lvl w:ilvl="3" w:tplc="C17C2696">
      <w:start w:val="1"/>
      <w:numFmt w:val="bullet"/>
      <w:lvlText w:val=""/>
      <w:lvlJc w:val="left"/>
      <w:pPr>
        <w:ind w:left="720" w:hanging="360"/>
      </w:pPr>
      <w:rPr>
        <w:rFonts w:ascii="Symbol" w:hAnsi="Symbol"/>
      </w:rPr>
    </w:lvl>
    <w:lvl w:ilvl="4" w:tplc="8FC86DD0">
      <w:start w:val="1"/>
      <w:numFmt w:val="bullet"/>
      <w:lvlText w:val=""/>
      <w:lvlJc w:val="left"/>
      <w:pPr>
        <w:ind w:left="720" w:hanging="360"/>
      </w:pPr>
      <w:rPr>
        <w:rFonts w:ascii="Symbol" w:hAnsi="Symbol"/>
      </w:rPr>
    </w:lvl>
    <w:lvl w:ilvl="5" w:tplc="27B6F69E">
      <w:start w:val="1"/>
      <w:numFmt w:val="bullet"/>
      <w:lvlText w:val=""/>
      <w:lvlJc w:val="left"/>
      <w:pPr>
        <w:ind w:left="720" w:hanging="360"/>
      </w:pPr>
      <w:rPr>
        <w:rFonts w:ascii="Symbol" w:hAnsi="Symbol"/>
      </w:rPr>
    </w:lvl>
    <w:lvl w:ilvl="6" w:tplc="AA0AAF06">
      <w:start w:val="1"/>
      <w:numFmt w:val="bullet"/>
      <w:lvlText w:val=""/>
      <w:lvlJc w:val="left"/>
      <w:pPr>
        <w:ind w:left="720" w:hanging="360"/>
      </w:pPr>
      <w:rPr>
        <w:rFonts w:ascii="Symbol" w:hAnsi="Symbol"/>
      </w:rPr>
    </w:lvl>
    <w:lvl w:ilvl="7" w:tplc="0B668B54">
      <w:start w:val="1"/>
      <w:numFmt w:val="bullet"/>
      <w:lvlText w:val=""/>
      <w:lvlJc w:val="left"/>
      <w:pPr>
        <w:ind w:left="720" w:hanging="360"/>
      </w:pPr>
      <w:rPr>
        <w:rFonts w:ascii="Symbol" w:hAnsi="Symbol"/>
      </w:rPr>
    </w:lvl>
    <w:lvl w:ilvl="8" w:tplc="AA08618A">
      <w:start w:val="1"/>
      <w:numFmt w:val="bullet"/>
      <w:lvlText w:val=""/>
      <w:lvlJc w:val="left"/>
      <w:pPr>
        <w:ind w:left="720" w:hanging="360"/>
      </w:pPr>
      <w:rPr>
        <w:rFonts w:ascii="Symbol" w:hAnsi="Symbol"/>
      </w:rPr>
    </w:lvl>
  </w:abstractNum>
  <w:abstractNum w:abstractNumId="101" w15:restartNumberingAfterBreak="0">
    <w:nsid w:val="6E157AEA"/>
    <w:multiLevelType w:val="hybridMultilevel"/>
    <w:tmpl w:val="120A7880"/>
    <w:lvl w:ilvl="0" w:tplc="FFFFFFFF">
      <w:start w:val="1"/>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2" w15:restartNumberingAfterBreak="0">
    <w:nsid w:val="6E2131B7"/>
    <w:multiLevelType w:val="hybridMultilevel"/>
    <w:tmpl w:val="E594E8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3" w15:restartNumberingAfterBreak="0">
    <w:nsid w:val="6F346645"/>
    <w:multiLevelType w:val="hybridMultilevel"/>
    <w:tmpl w:val="5336BB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4" w15:restartNumberingAfterBreak="0">
    <w:nsid w:val="6F9F7AD6"/>
    <w:multiLevelType w:val="hybridMultilevel"/>
    <w:tmpl w:val="7B76BFAE"/>
    <w:lvl w:ilvl="0" w:tplc="4ECEC36C">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5" w15:restartNumberingAfterBreak="0">
    <w:nsid w:val="7053782B"/>
    <w:multiLevelType w:val="hybridMultilevel"/>
    <w:tmpl w:val="CBD06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70E43CD0"/>
    <w:multiLevelType w:val="hybridMultilevel"/>
    <w:tmpl w:val="514430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7" w15:restartNumberingAfterBreak="0">
    <w:nsid w:val="70EC5B46"/>
    <w:multiLevelType w:val="hybridMultilevel"/>
    <w:tmpl w:val="33EC656E"/>
    <w:lvl w:ilvl="0" w:tplc="CD4A4DC0">
      <w:start w:val="1"/>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8" w15:restartNumberingAfterBreak="0">
    <w:nsid w:val="716D2627"/>
    <w:multiLevelType w:val="hybridMultilevel"/>
    <w:tmpl w:val="CBB6B98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9" w15:restartNumberingAfterBreak="0">
    <w:nsid w:val="77490458"/>
    <w:multiLevelType w:val="hybridMultilevel"/>
    <w:tmpl w:val="46C07FA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15:restartNumberingAfterBreak="0">
    <w:nsid w:val="7BE3797B"/>
    <w:multiLevelType w:val="hybridMultilevel"/>
    <w:tmpl w:val="E18674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1" w15:restartNumberingAfterBreak="0">
    <w:nsid w:val="7BF41BF9"/>
    <w:multiLevelType w:val="hybridMultilevel"/>
    <w:tmpl w:val="C70EDE9C"/>
    <w:lvl w:ilvl="0" w:tplc="579C98A0">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2" w15:restartNumberingAfterBreak="0">
    <w:nsid w:val="7BF65F43"/>
    <w:multiLevelType w:val="hybridMultilevel"/>
    <w:tmpl w:val="91B2F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3" w15:restartNumberingAfterBreak="0">
    <w:nsid w:val="7CC15ED9"/>
    <w:multiLevelType w:val="hybridMultilevel"/>
    <w:tmpl w:val="84AE69C8"/>
    <w:lvl w:ilvl="0" w:tplc="F098AAA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4" w15:restartNumberingAfterBreak="0">
    <w:nsid w:val="7EC75E02"/>
    <w:multiLevelType w:val="hybridMultilevel"/>
    <w:tmpl w:val="2FF2D2DC"/>
    <w:lvl w:ilvl="0" w:tplc="D4BE256E">
      <w:start w:val="1"/>
      <w:numFmt w:val="lowerRoman"/>
      <w:lvlText w:val="(%1)"/>
      <w:lvlJc w:val="left"/>
      <w:pPr>
        <w:ind w:left="720" w:hanging="72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064673529">
    <w:abstractNumId w:val="84"/>
  </w:num>
  <w:num w:numId="2" w16cid:durableId="644239942">
    <w:abstractNumId w:val="70"/>
  </w:num>
  <w:num w:numId="3" w16cid:durableId="1577475587">
    <w:abstractNumId w:val="5"/>
  </w:num>
  <w:num w:numId="4" w16cid:durableId="659382616">
    <w:abstractNumId w:val="109"/>
  </w:num>
  <w:num w:numId="5" w16cid:durableId="341666540">
    <w:abstractNumId w:val="6"/>
  </w:num>
  <w:num w:numId="6" w16cid:durableId="1988238311">
    <w:abstractNumId w:val="40"/>
  </w:num>
  <w:num w:numId="7" w16cid:durableId="268776763">
    <w:abstractNumId w:val="34"/>
  </w:num>
  <w:num w:numId="8" w16cid:durableId="968976736">
    <w:abstractNumId w:val="108"/>
  </w:num>
  <w:num w:numId="9" w16cid:durableId="727264845">
    <w:abstractNumId w:val="103"/>
  </w:num>
  <w:num w:numId="10" w16cid:durableId="346444594">
    <w:abstractNumId w:val="102"/>
  </w:num>
  <w:num w:numId="11" w16cid:durableId="75320529">
    <w:abstractNumId w:val="63"/>
  </w:num>
  <w:num w:numId="12" w16cid:durableId="2075425883">
    <w:abstractNumId w:val="15"/>
  </w:num>
  <w:num w:numId="13" w16cid:durableId="851994908">
    <w:abstractNumId w:val="53"/>
  </w:num>
  <w:num w:numId="14" w16cid:durableId="2020346126">
    <w:abstractNumId w:val="26"/>
  </w:num>
  <w:num w:numId="15" w16cid:durableId="607004162">
    <w:abstractNumId w:val="83"/>
  </w:num>
  <w:num w:numId="16" w16cid:durableId="968630852">
    <w:abstractNumId w:val="80"/>
  </w:num>
  <w:num w:numId="17" w16cid:durableId="25103172">
    <w:abstractNumId w:val="106"/>
  </w:num>
  <w:num w:numId="18" w16cid:durableId="1536189921">
    <w:abstractNumId w:val="49"/>
  </w:num>
  <w:num w:numId="19" w16cid:durableId="1744528142">
    <w:abstractNumId w:val="75"/>
  </w:num>
  <w:num w:numId="20" w16cid:durableId="1757553439">
    <w:abstractNumId w:val="2"/>
  </w:num>
  <w:num w:numId="21" w16cid:durableId="1558786235">
    <w:abstractNumId w:val="81"/>
  </w:num>
  <w:num w:numId="22" w16cid:durableId="235437114">
    <w:abstractNumId w:val="74"/>
  </w:num>
  <w:num w:numId="23" w16cid:durableId="1483809993">
    <w:abstractNumId w:val="107"/>
  </w:num>
  <w:num w:numId="24" w16cid:durableId="2118519916">
    <w:abstractNumId w:val="4"/>
  </w:num>
  <w:num w:numId="25" w16cid:durableId="1921789019">
    <w:abstractNumId w:val="57"/>
  </w:num>
  <w:num w:numId="26" w16cid:durableId="1521354764">
    <w:abstractNumId w:val="92"/>
  </w:num>
  <w:num w:numId="27" w16cid:durableId="494608600">
    <w:abstractNumId w:val="54"/>
  </w:num>
  <w:num w:numId="28" w16cid:durableId="1488588739">
    <w:abstractNumId w:val="77"/>
  </w:num>
  <w:num w:numId="29" w16cid:durableId="1437752157">
    <w:abstractNumId w:val="28"/>
  </w:num>
  <w:num w:numId="30" w16cid:durableId="277370343">
    <w:abstractNumId w:val="85"/>
  </w:num>
  <w:num w:numId="31" w16cid:durableId="1286546127">
    <w:abstractNumId w:val="32"/>
  </w:num>
  <w:num w:numId="32" w16cid:durableId="878012115">
    <w:abstractNumId w:val="89"/>
  </w:num>
  <w:num w:numId="33" w16cid:durableId="326372334">
    <w:abstractNumId w:val="90"/>
  </w:num>
  <w:num w:numId="34" w16cid:durableId="1774128369">
    <w:abstractNumId w:val="42"/>
  </w:num>
  <w:num w:numId="35" w16cid:durableId="921455088">
    <w:abstractNumId w:val="33"/>
  </w:num>
  <w:num w:numId="36" w16cid:durableId="654530661">
    <w:abstractNumId w:val="36"/>
  </w:num>
  <w:num w:numId="37" w16cid:durableId="381561354">
    <w:abstractNumId w:val="13"/>
  </w:num>
  <w:num w:numId="38" w16cid:durableId="839153788">
    <w:abstractNumId w:val="59"/>
  </w:num>
  <w:num w:numId="39" w16cid:durableId="1438712983">
    <w:abstractNumId w:val="65"/>
  </w:num>
  <w:num w:numId="40" w16cid:durableId="2010937377">
    <w:abstractNumId w:val="29"/>
  </w:num>
  <w:num w:numId="41" w16cid:durableId="167600577">
    <w:abstractNumId w:val="44"/>
  </w:num>
  <w:num w:numId="42" w16cid:durableId="39716978">
    <w:abstractNumId w:val="111"/>
  </w:num>
  <w:num w:numId="43" w16cid:durableId="238367134">
    <w:abstractNumId w:val="104"/>
  </w:num>
  <w:num w:numId="44" w16cid:durableId="1178230440">
    <w:abstractNumId w:val="87"/>
  </w:num>
  <w:num w:numId="45" w16cid:durableId="2014600989">
    <w:abstractNumId w:val="62"/>
  </w:num>
  <w:num w:numId="46" w16cid:durableId="200485690">
    <w:abstractNumId w:val="41"/>
  </w:num>
  <w:num w:numId="47" w16cid:durableId="1687243543">
    <w:abstractNumId w:val="43"/>
  </w:num>
  <w:num w:numId="48" w16cid:durableId="519590087">
    <w:abstractNumId w:val="78"/>
  </w:num>
  <w:num w:numId="49" w16cid:durableId="1358778100">
    <w:abstractNumId w:val="58"/>
  </w:num>
  <w:num w:numId="50" w16cid:durableId="1693457138">
    <w:abstractNumId w:val="114"/>
  </w:num>
  <w:num w:numId="51" w16cid:durableId="775246379">
    <w:abstractNumId w:val="82"/>
  </w:num>
  <w:num w:numId="52" w16cid:durableId="720714560">
    <w:abstractNumId w:val="93"/>
  </w:num>
  <w:num w:numId="53" w16cid:durableId="1575049264">
    <w:abstractNumId w:val="91"/>
  </w:num>
  <w:num w:numId="54" w16cid:durableId="1330213970">
    <w:abstractNumId w:val="94"/>
  </w:num>
  <w:num w:numId="55" w16cid:durableId="1304775485">
    <w:abstractNumId w:val="46"/>
  </w:num>
  <w:num w:numId="56" w16cid:durableId="1106340587">
    <w:abstractNumId w:val="101"/>
  </w:num>
  <w:num w:numId="57" w16cid:durableId="669873404">
    <w:abstractNumId w:val="100"/>
  </w:num>
  <w:num w:numId="58" w16cid:durableId="1383334307">
    <w:abstractNumId w:val="99"/>
  </w:num>
  <w:num w:numId="59" w16cid:durableId="1112825416">
    <w:abstractNumId w:val="39"/>
  </w:num>
  <w:num w:numId="60" w16cid:durableId="1868522113">
    <w:abstractNumId w:val="3"/>
  </w:num>
  <w:num w:numId="61" w16cid:durableId="944655017">
    <w:abstractNumId w:val="17"/>
  </w:num>
  <w:num w:numId="62" w16cid:durableId="1521313830">
    <w:abstractNumId w:val="45"/>
  </w:num>
  <w:num w:numId="63" w16cid:durableId="1557471920">
    <w:abstractNumId w:val="110"/>
  </w:num>
  <w:num w:numId="64" w16cid:durableId="1715037536">
    <w:abstractNumId w:val="67"/>
  </w:num>
  <w:num w:numId="65" w16cid:durableId="1956984672">
    <w:abstractNumId w:val="61"/>
  </w:num>
  <w:num w:numId="66" w16cid:durableId="598949606">
    <w:abstractNumId w:val="97"/>
  </w:num>
  <w:num w:numId="67" w16cid:durableId="2070613420">
    <w:abstractNumId w:val="19"/>
  </w:num>
  <w:num w:numId="68" w16cid:durableId="1646857195">
    <w:abstractNumId w:val="7"/>
  </w:num>
  <w:num w:numId="69" w16cid:durableId="224679760">
    <w:abstractNumId w:val="0"/>
  </w:num>
  <w:num w:numId="70" w16cid:durableId="1197815444">
    <w:abstractNumId w:val="47"/>
  </w:num>
  <w:num w:numId="71" w16cid:durableId="660041528">
    <w:abstractNumId w:val="23"/>
  </w:num>
  <w:num w:numId="72" w16cid:durableId="312876971">
    <w:abstractNumId w:val="18"/>
  </w:num>
  <w:num w:numId="73" w16cid:durableId="684551067">
    <w:abstractNumId w:val="113"/>
  </w:num>
  <w:num w:numId="74" w16cid:durableId="1754275494">
    <w:abstractNumId w:val="112"/>
  </w:num>
  <w:num w:numId="75" w16cid:durableId="1123578035">
    <w:abstractNumId w:val="88"/>
  </w:num>
  <w:num w:numId="76" w16cid:durableId="327025407">
    <w:abstractNumId w:val="22"/>
  </w:num>
  <w:num w:numId="77" w16cid:durableId="954485434">
    <w:abstractNumId w:val="8"/>
  </w:num>
  <w:num w:numId="78" w16cid:durableId="1164197215">
    <w:abstractNumId w:val="25"/>
  </w:num>
  <w:num w:numId="79" w16cid:durableId="687488058">
    <w:abstractNumId w:val="38"/>
  </w:num>
  <w:num w:numId="80" w16cid:durableId="1809859894">
    <w:abstractNumId w:val="86"/>
  </w:num>
  <w:num w:numId="81" w16cid:durableId="504320453">
    <w:abstractNumId w:val="50"/>
  </w:num>
  <w:num w:numId="82" w16cid:durableId="1845168350">
    <w:abstractNumId w:val="96"/>
  </w:num>
  <w:num w:numId="83" w16cid:durableId="602372862">
    <w:abstractNumId w:val="48"/>
  </w:num>
  <w:num w:numId="84" w16cid:durableId="1026522100">
    <w:abstractNumId w:val="9"/>
  </w:num>
  <w:num w:numId="85" w16cid:durableId="302471417">
    <w:abstractNumId w:val="21"/>
  </w:num>
  <w:num w:numId="86" w16cid:durableId="1832021203">
    <w:abstractNumId w:val="20"/>
  </w:num>
  <w:num w:numId="87" w16cid:durableId="2113353357">
    <w:abstractNumId w:val="1"/>
  </w:num>
  <w:num w:numId="88" w16cid:durableId="1950424966">
    <w:abstractNumId w:val="10"/>
  </w:num>
  <w:num w:numId="89" w16cid:durableId="951935637">
    <w:abstractNumId w:val="60"/>
  </w:num>
  <w:num w:numId="90" w16cid:durableId="1483231696">
    <w:abstractNumId w:val="105"/>
  </w:num>
  <w:num w:numId="91" w16cid:durableId="2002654823">
    <w:abstractNumId w:val="24"/>
  </w:num>
  <w:num w:numId="92" w16cid:durableId="2099597360">
    <w:abstractNumId w:val="12"/>
  </w:num>
  <w:num w:numId="93" w16cid:durableId="2051563683">
    <w:abstractNumId w:val="37"/>
  </w:num>
  <w:num w:numId="94" w16cid:durableId="1211766233">
    <w:abstractNumId w:val="76"/>
  </w:num>
  <w:num w:numId="95" w16cid:durableId="1257861362">
    <w:abstractNumId w:val="71"/>
  </w:num>
  <w:num w:numId="96" w16cid:durableId="1956253998">
    <w:abstractNumId w:val="55"/>
  </w:num>
  <w:num w:numId="97" w16cid:durableId="1342588049">
    <w:abstractNumId w:val="52"/>
  </w:num>
  <w:num w:numId="98" w16cid:durableId="721949271">
    <w:abstractNumId w:val="56"/>
  </w:num>
  <w:num w:numId="99" w16cid:durableId="313029206">
    <w:abstractNumId w:val="16"/>
  </w:num>
  <w:num w:numId="100" w16cid:durableId="1061557510">
    <w:abstractNumId w:val="72"/>
  </w:num>
  <w:num w:numId="101" w16cid:durableId="292832214">
    <w:abstractNumId w:val="51"/>
  </w:num>
  <w:num w:numId="102" w16cid:durableId="182087442">
    <w:abstractNumId w:val="73"/>
  </w:num>
  <w:num w:numId="103" w16cid:durableId="2065830524">
    <w:abstractNumId w:val="68"/>
  </w:num>
  <w:num w:numId="104" w16cid:durableId="1439788490">
    <w:abstractNumId w:val="79"/>
  </w:num>
  <w:num w:numId="105" w16cid:durableId="328559070">
    <w:abstractNumId w:val="64"/>
  </w:num>
  <w:num w:numId="106" w16cid:durableId="1928886086">
    <w:abstractNumId w:val="66"/>
  </w:num>
  <w:num w:numId="107" w16cid:durableId="8988170">
    <w:abstractNumId w:val="31"/>
  </w:num>
  <w:num w:numId="108" w16cid:durableId="2036148178">
    <w:abstractNumId w:val="98"/>
  </w:num>
  <w:num w:numId="109" w16cid:durableId="1513950663">
    <w:abstractNumId w:val="95"/>
  </w:num>
  <w:num w:numId="110" w16cid:durableId="1259295821">
    <w:abstractNumId w:val="69"/>
  </w:num>
  <w:num w:numId="111" w16cid:durableId="1673795272">
    <w:abstractNumId w:val="35"/>
  </w:num>
  <w:num w:numId="112" w16cid:durableId="943612511">
    <w:abstractNumId w:val="14"/>
  </w:num>
  <w:num w:numId="113" w16cid:durableId="1289580358">
    <w:abstractNumId w:val="27"/>
  </w:num>
  <w:num w:numId="114" w16cid:durableId="1818111558">
    <w:abstractNumId w:val="30"/>
  </w:num>
  <w:num w:numId="115" w16cid:durableId="1701205911">
    <w:abstractNumId w:val="11"/>
  </w:num>
  <w:numIdMacAtCleanup w:val="1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2E67"/>
    <w:rsid w:val="00003E2C"/>
    <w:rsid w:val="000053B9"/>
    <w:rsid w:val="0000695B"/>
    <w:rsid w:val="00007DDE"/>
    <w:rsid w:val="0001140E"/>
    <w:rsid w:val="00011BD9"/>
    <w:rsid w:val="000122CD"/>
    <w:rsid w:val="00012720"/>
    <w:rsid w:val="000148B9"/>
    <w:rsid w:val="000163D8"/>
    <w:rsid w:val="0001643A"/>
    <w:rsid w:val="00016B00"/>
    <w:rsid w:val="00017808"/>
    <w:rsid w:val="000236AE"/>
    <w:rsid w:val="000247A1"/>
    <w:rsid w:val="0002569A"/>
    <w:rsid w:val="000328DE"/>
    <w:rsid w:val="00034526"/>
    <w:rsid w:val="0003778E"/>
    <w:rsid w:val="0004099D"/>
    <w:rsid w:val="00041713"/>
    <w:rsid w:val="00045774"/>
    <w:rsid w:val="00050FD1"/>
    <w:rsid w:val="00051E71"/>
    <w:rsid w:val="00056884"/>
    <w:rsid w:val="00057553"/>
    <w:rsid w:val="00057F32"/>
    <w:rsid w:val="00060ADC"/>
    <w:rsid w:val="00063390"/>
    <w:rsid w:val="00063819"/>
    <w:rsid w:val="00065CA4"/>
    <w:rsid w:val="00067723"/>
    <w:rsid w:val="00067D45"/>
    <w:rsid w:val="000702ED"/>
    <w:rsid w:val="000728A8"/>
    <w:rsid w:val="00074502"/>
    <w:rsid w:val="00075FE2"/>
    <w:rsid w:val="00083905"/>
    <w:rsid w:val="00084C85"/>
    <w:rsid w:val="00090903"/>
    <w:rsid w:val="00090EA4"/>
    <w:rsid w:val="00091885"/>
    <w:rsid w:val="00091F8A"/>
    <w:rsid w:val="00092FB9"/>
    <w:rsid w:val="000938EB"/>
    <w:rsid w:val="000952FB"/>
    <w:rsid w:val="0009692E"/>
    <w:rsid w:val="000A1656"/>
    <w:rsid w:val="000A2437"/>
    <w:rsid w:val="000A3DF2"/>
    <w:rsid w:val="000A3EB3"/>
    <w:rsid w:val="000A5C1E"/>
    <w:rsid w:val="000A7F32"/>
    <w:rsid w:val="000B009A"/>
    <w:rsid w:val="000B2B97"/>
    <w:rsid w:val="000B5899"/>
    <w:rsid w:val="000B6FE9"/>
    <w:rsid w:val="000C0461"/>
    <w:rsid w:val="000C0BC9"/>
    <w:rsid w:val="000C1738"/>
    <w:rsid w:val="000C2BE8"/>
    <w:rsid w:val="000C2C24"/>
    <w:rsid w:val="000C3563"/>
    <w:rsid w:val="000C5490"/>
    <w:rsid w:val="000D1F26"/>
    <w:rsid w:val="000E124C"/>
    <w:rsid w:val="000E4FFC"/>
    <w:rsid w:val="000E5B16"/>
    <w:rsid w:val="000F2949"/>
    <w:rsid w:val="000F3B35"/>
    <w:rsid w:val="000F5D39"/>
    <w:rsid w:val="000F7616"/>
    <w:rsid w:val="000F7991"/>
    <w:rsid w:val="000F7B55"/>
    <w:rsid w:val="001003D1"/>
    <w:rsid w:val="00101788"/>
    <w:rsid w:val="00103AE9"/>
    <w:rsid w:val="00105E82"/>
    <w:rsid w:val="00111AC6"/>
    <w:rsid w:val="0011638D"/>
    <w:rsid w:val="001176C3"/>
    <w:rsid w:val="00121C2D"/>
    <w:rsid w:val="00122006"/>
    <w:rsid w:val="00123974"/>
    <w:rsid w:val="0012525D"/>
    <w:rsid w:val="0012738B"/>
    <w:rsid w:val="00131126"/>
    <w:rsid w:val="00133A80"/>
    <w:rsid w:val="001352C0"/>
    <w:rsid w:val="00135653"/>
    <w:rsid w:val="00135FC3"/>
    <w:rsid w:val="00140343"/>
    <w:rsid w:val="001427B4"/>
    <w:rsid w:val="0014366C"/>
    <w:rsid w:val="00144552"/>
    <w:rsid w:val="00144632"/>
    <w:rsid w:val="00146F4A"/>
    <w:rsid w:val="00146FEE"/>
    <w:rsid w:val="00150DBC"/>
    <w:rsid w:val="00154E4A"/>
    <w:rsid w:val="00155F8F"/>
    <w:rsid w:val="00157E42"/>
    <w:rsid w:val="0016036E"/>
    <w:rsid w:val="001668EA"/>
    <w:rsid w:val="00166AB8"/>
    <w:rsid w:val="00170310"/>
    <w:rsid w:val="00170E36"/>
    <w:rsid w:val="0017517B"/>
    <w:rsid w:val="00177022"/>
    <w:rsid w:val="00177719"/>
    <w:rsid w:val="001802A7"/>
    <w:rsid w:val="00181D92"/>
    <w:rsid w:val="0018395A"/>
    <w:rsid w:val="00183D08"/>
    <w:rsid w:val="00183DC9"/>
    <w:rsid w:val="0019024E"/>
    <w:rsid w:val="001915F6"/>
    <w:rsid w:val="0019178F"/>
    <w:rsid w:val="0019560A"/>
    <w:rsid w:val="00195AC5"/>
    <w:rsid w:val="0019707B"/>
    <w:rsid w:val="001A0CEB"/>
    <w:rsid w:val="001A60C5"/>
    <w:rsid w:val="001B1FB1"/>
    <w:rsid w:val="001B3CB7"/>
    <w:rsid w:val="001B44E2"/>
    <w:rsid w:val="001C0680"/>
    <w:rsid w:val="001C44F3"/>
    <w:rsid w:val="001C4648"/>
    <w:rsid w:val="001C6393"/>
    <w:rsid w:val="001C70FE"/>
    <w:rsid w:val="001C7573"/>
    <w:rsid w:val="001C7AC4"/>
    <w:rsid w:val="001D1603"/>
    <w:rsid w:val="001D35E7"/>
    <w:rsid w:val="001D4A12"/>
    <w:rsid w:val="001E30C7"/>
    <w:rsid w:val="001E32B0"/>
    <w:rsid w:val="001E64C0"/>
    <w:rsid w:val="001E771B"/>
    <w:rsid w:val="001F1DFC"/>
    <w:rsid w:val="001F1E2F"/>
    <w:rsid w:val="001F29CE"/>
    <w:rsid w:val="001F2D98"/>
    <w:rsid w:val="001F3BA8"/>
    <w:rsid w:val="001F6A6B"/>
    <w:rsid w:val="00200AAF"/>
    <w:rsid w:val="002011FC"/>
    <w:rsid w:val="0020236A"/>
    <w:rsid w:val="002029C7"/>
    <w:rsid w:val="00211044"/>
    <w:rsid w:val="002122A9"/>
    <w:rsid w:val="00220425"/>
    <w:rsid w:val="00220C32"/>
    <w:rsid w:val="002216DE"/>
    <w:rsid w:val="00222FC2"/>
    <w:rsid w:val="0023035D"/>
    <w:rsid w:val="00232A97"/>
    <w:rsid w:val="00232CA4"/>
    <w:rsid w:val="002340F7"/>
    <w:rsid w:val="00234FAC"/>
    <w:rsid w:val="00236ABF"/>
    <w:rsid w:val="002456DD"/>
    <w:rsid w:val="002471A0"/>
    <w:rsid w:val="00256E8C"/>
    <w:rsid w:val="00257AB9"/>
    <w:rsid w:val="00261E8F"/>
    <w:rsid w:val="002637DB"/>
    <w:rsid w:val="00263DE8"/>
    <w:rsid w:val="0026612F"/>
    <w:rsid w:val="00266530"/>
    <w:rsid w:val="002666B8"/>
    <w:rsid w:val="002671D6"/>
    <w:rsid w:val="0026721E"/>
    <w:rsid w:val="002701B6"/>
    <w:rsid w:val="002730F4"/>
    <w:rsid w:val="00273D20"/>
    <w:rsid w:val="002746C7"/>
    <w:rsid w:val="00276E30"/>
    <w:rsid w:val="00280636"/>
    <w:rsid w:val="0028141F"/>
    <w:rsid w:val="0028252C"/>
    <w:rsid w:val="00282AB5"/>
    <w:rsid w:val="00284A6C"/>
    <w:rsid w:val="00284AF6"/>
    <w:rsid w:val="002859F3"/>
    <w:rsid w:val="0029043C"/>
    <w:rsid w:val="00292131"/>
    <w:rsid w:val="0029465B"/>
    <w:rsid w:val="00294EB1"/>
    <w:rsid w:val="00297875"/>
    <w:rsid w:val="002A1B1D"/>
    <w:rsid w:val="002A2DA1"/>
    <w:rsid w:val="002A34B2"/>
    <w:rsid w:val="002A3BD9"/>
    <w:rsid w:val="002A4AC6"/>
    <w:rsid w:val="002A544A"/>
    <w:rsid w:val="002A566C"/>
    <w:rsid w:val="002A7299"/>
    <w:rsid w:val="002B164A"/>
    <w:rsid w:val="002B3353"/>
    <w:rsid w:val="002B6FD2"/>
    <w:rsid w:val="002B7951"/>
    <w:rsid w:val="002C3F84"/>
    <w:rsid w:val="002C4153"/>
    <w:rsid w:val="002C6709"/>
    <w:rsid w:val="002C7CC8"/>
    <w:rsid w:val="002D0EBE"/>
    <w:rsid w:val="002D135E"/>
    <w:rsid w:val="002D19D2"/>
    <w:rsid w:val="002D3A93"/>
    <w:rsid w:val="002D65CB"/>
    <w:rsid w:val="002D6F37"/>
    <w:rsid w:val="002E0C52"/>
    <w:rsid w:val="002E15B3"/>
    <w:rsid w:val="002E4372"/>
    <w:rsid w:val="002F0D74"/>
    <w:rsid w:val="002F316F"/>
    <w:rsid w:val="002F4B68"/>
    <w:rsid w:val="002F6348"/>
    <w:rsid w:val="002F69D6"/>
    <w:rsid w:val="00303277"/>
    <w:rsid w:val="003048D5"/>
    <w:rsid w:val="00304EB5"/>
    <w:rsid w:val="0030599D"/>
    <w:rsid w:val="00310E03"/>
    <w:rsid w:val="00311810"/>
    <w:rsid w:val="003119F7"/>
    <w:rsid w:val="00312B1F"/>
    <w:rsid w:val="00314D7D"/>
    <w:rsid w:val="003157E3"/>
    <w:rsid w:val="00315EC6"/>
    <w:rsid w:val="00317FEB"/>
    <w:rsid w:val="003201F0"/>
    <w:rsid w:val="00322B33"/>
    <w:rsid w:val="00323F54"/>
    <w:rsid w:val="00324ECC"/>
    <w:rsid w:val="00327529"/>
    <w:rsid w:val="0033123C"/>
    <w:rsid w:val="003334BA"/>
    <w:rsid w:val="00333D00"/>
    <w:rsid w:val="0034020D"/>
    <w:rsid w:val="003405AF"/>
    <w:rsid w:val="003429A9"/>
    <w:rsid w:val="00344F3F"/>
    <w:rsid w:val="00345644"/>
    <w:rsid w:val="003465F4"/>
    <w:rsid w:val="0035067D"/>
    <w:rsid w:val="0035489C"/>
    <w:rsid w:val="00360F61"/>
    <w:rsid w:val="00363179"/>
    <w:rsid w:val="00365047"/>
    <w:rsid w:val="003659CD"/>
    <w:rsid w:val="00366089"/>
    <w:rsid w:val="00373793"/>
    <w:rsid w:val="00374149"/>
    <w:rsid w:val="00374FDA"/>
    <w:rsid w:val="00376CFA"/>
    <w:rsid w:val="003815C5"/>
    <w:rsid w:val="003850F0"/>
    <w:rsid w:val="003858D7"/>
    <w:rsid w:val="00392D97"/>
    <w:rsid w:val="00392F21"/>
    <w:rsid w:val="00394CFA"/>
    <w:rsid w:val="00396FE7"/>
    <w:rsid w:val="00397EDE"/>
    <w:rsid w:val="003A170A"/>
    <w:rsid w:val="003A33C5"/>
    <w:rsid w:val="003A71DA"/>
    <w:rsid w:val="003B1C8E"/>
    <w:rsid w:val="003B5139"/>
    <w:rsid w:val="003B5A2D"/>
    <w:rsid w:val="003C3BC6"/>
    <w:rsid w:val="003D0777"/>
    <w:rsid w:val="003D2AD9"/>
    <w:rsid w:val="003D2FBD"/>
    <w:rsid w:val="003D33F8"/>
    <w:rsid w:val="003D7921"/>
    <w:rsid w:val="003E1CA3"/>
    <w:rsid w:val="003E6FA4"/>
    <w:rsid w:val="003F36C8"/>
    <w:rsid w:val="003F44A7"/>
    <w:rsid w:val="0040092A"/>
    <w:rsid w:val="004034A0"/>
    <w:rsid w:val="0040358A"/>
    <w:rsid w:val="004041E3"/>
    <w:rsid w:val="004042B3"/>
    <w:rsid w:val="00405461"/>
    <w:rsid w:val="0041162D"/>
    <w:rsid w:val="00412556"/>
    <w:rsid w:val="0041266D"/>
    <w:rsid w:val="004155B2"/>
    <w:rsid w:val="00416B03"/>
    <w:rsid w:val="004234AF"/>
    <w:rsid w:val="004234D3"/>
    <w:rsid w:val="00423861"/>
    <w:rsid w:val="0042472C"/>
    <w:rsid w:val="00424BB0"/>
    <w:rsid w:val="00426BAF"/>
    <w:rsid w:val="00430ABF"/>
    <w:rsid w:val="00432402"/>
    <w:rsid w:val="004339A4"/>
    <w:rsid w:val="00433B12"/>
    <w:rsid w:val="0043443A"/>
    <w:rsid w:val="00435AC5"/>
    <w:rsid w:val="004404D9"/>
    <w:rsid w:val="004412D9"/>
    <w:rsid w:val="0044201A"/>
    <w:rsid w:val="00444A75"/>
    <w:rsid w:val="00444BF9"/>
    <w:rsid w:val="00445301"/>
    <w:rsid w:val="004459E1"/>
    <w:rsid w:val="00446174"/>
    <w:rsid w:val="004476D3"/>
    <w:rsid w:val="004505C0"/>
    <w:rsid w:val="0045069D"/>
    <w:rsid w:val="00452233"/>
    <w:rsid w:val="004535F2"/>
    <w:rsid w:val="004536A0"/>
    <w:rsid w:val="00453BAC"/>
    <w:rsid w:val="00454971"/>
    <w:rsid w:val="004572A4"/>
    <w:rsid w:val="00463F5F"/>
    <w:rsid w:val="00465410"/>
    <w:rsid w:val="00465ABD"/>
    <w:rsid w:val="004660BD"/>
    <w:rsid w:val="00466123"/>
    <w:rsid w:val="004672B3"/>
    <w:rsid w:val="00467749"/>
    <w:rsid w:val="00473B1E"/>
    <w:rsid w:val="00480F04"/>
    <w:rsid w:val="00481527"/>
    <w:rsid w:val="004818EB"/>
    <w:rsid w:val="00483416"/>
    <w:rsid w:val="004841ED"/>
    <w:rsid w:val="00492443"/>
    <w:rsid w:val="00492C7A"/>
    <w:rsid w:val="0049338A"/>
    <w:rsid w:val="004955CC"/>
    <w:rsid w:val="004957D8"/>
    <w:rsid w:val="004A3C7D"/>
    <w:rsid w:val="004A5B11"/>
    <w:rsid w:val="004A7C0D"/>
    <w:rsid w:val="004B0D93"/>
    <w:rsid w:val="004B202F"/>
    <w:rsid w:val="004B3CCA"/>
    <w:rsid w:val="004B4F9B"/>
    <w:rsid w:val="004B6234"/>
    <w:rsid w:val="004B68C2"/>
    <w:rsid w:val="004C1D81"/>
    <w:rsid w:val="004C3779"/>
    <w:rsid w:val="004C4C82"/>
    <w:rsid w:val="004C4DDE"/>
    <w:rsid w:val="004C53AF"/>
    <w:rsid w:val="004C5518"/>
    <w:rsid w:val="004C7614"/>
    <w:rsid w:val="004D4B48"/>
    <w:rsid w:val="004D7B99"/>
    <w:rsid w:val="004E0921"/>
    <w:rsid w:val="004E11D4"/>
    <w:rsid w:val="004E1977"/>
    <w:rsid w:val="004E281B"/>
    <w:rsid w:val="004E472B"/>
    <w:rsid w:val="004E507D"/>
    <w:rsid w:val="004E674E"/>
    <w:rsid w:val="004E6BE8"/>
    <w:rsid w:val="004E7CD2"/>
    <w:rsid w:val="004F0528"/>
    <w:rsid w:val="004F06AC"/>
    <w:rsid w:val="004F57C3"/>
    <w:rsid w:val="004F6AD3"/>
    <w:rsid w:val="004F7D06"/>
    <w:rsid w:val="00500CE0"/>
    <w:rsid w:val="00500D0B"/>
    <w:rsid w:val="00503DF6"/>
    <w:rsid w:val="005050AB"/>
    <w:rsid w:val="005074D4"/>
    <w:rsid w:val="00507738"/>
    <w:rsid w:val="00507FEC"/>
    <w:rsid w:val="0051027E"/>
    <w:rsid w:val="00511321"/>
    <w:rsid w:val="00513209"/>
    <w:rsid w:val="00513B21"/>
    <w:rsid w:val="0051435D"/>
    <w:rsid w:val="00514A69"/>
    <w:rsid w:val="005167E0"/>
    <w:rsid w:val="005179DF"/>
    <w:rsid w:val="0052264F"/>
    <w:rsid w:val="00522807"/>
    <w:rsid w:val="00532436"/>
    <w:rsid w:val="005364C8"/>
    <w:rsid w:val="005401E4"/>
    <w:rsid w:val="0054286A"/>
    <w:rsid w:val="005442D0"/>
    <w:rsid w:val="00545DCF"/>
    <w:rsid w:val="00546E99"/>
    <w:rsid w:val="00547525"/>
    <w:rsid w:val="00547CD2"/>
    <w:rsid w:val="0055267F"/>
    <w:rsid w:val="00555E31"/>
    <w:rsid w:val="0056066F"/>
    <w:rsid w:val="00560F6F"/>
    <w:rsid w:val="00561DD1"/>
    <w:rsid w:val="00562C98"/>
    <w:rsid w:val="00564348"/>
    <w:rsid w:val="005644B4"/>
    <w:rsid w:val="00565261"/>
    <w:rsid w:val="00565FE1"/>
    <w:rsid w:val="00570D4E"/>
    <w:rsid w:val="0058109A"/>
    <w:rsid w:val="00581EC1"/>
    <w:rsid w:val="00582E51"/>
    <w:rsid w:val="00583CBF"/>
    <w:rsid w:val="005842F3"/>
    <w:rsid w:val="005849F7"/>
    <w:rsid w:val="00591BE9"/>
    <w:rsid w:val="0059331D"/>
    <w:rsid w:val="00595B25"/>
    <w:rsid w:val="00597BD1"/>
    <w:rsid w:val="005A1E00"/>
    <w:rsid w:val="005A34DA"/>
    <w:rsid w:val="005A4A6C"/>
    <w:rsid w:val="005A582C"/>
    <w:rsid w:val="005A587B"/>
    <w:rsid w:val="005B252B"/>
    <w:rsid w:val="005B2BCE"/>
    <w:rsid w:val="005B5958"/>
    <w:rsid w:val="005B66F6"/>
    <w:rsid w:val="005B7E42"/>
    <w:rsid w:val="005C0206"/>
    <w:rsid w:val="005C24C8"/>
    <w:rsid w:val="005C6BAE"/>
    <w:rsid w:val="005D1A64"/>
    <w:rsid w:val="005D559E"/>
    <w:rsid w:val="005D5833"/>
    <w:rsid w:val="005E0623"/>
    <w:rsid w:val="005E08E7"/>
    <w:rsid w:val="005E1666"/>
    <w:rsid w:val="005E1A63"/>
    <w:rsid w:val="005E67E5"/>
    <w:rsid w:val="005E71DD"/>
    <w:rsid w:val="005E7CBA"/>
    <w:rsid w:val="005F0FF6"/>
    <w:rsid w:val="005F61AC"/>
    <w:rsid w:val="00600D6D"/>
    <w:rsid w:val="00605551"/>
    <w:rsid w:val="00610D41"/>
    <w:rsid w:val="0061332B"/>
    <w:rsid w:val="006140CB"/>
    <w:rsid w:val="00617FF8"/>
    <w:rsid w:val="00620F6C"/>
    <w:rsid w:val="006229D7"/>
    <w:rsid w:val="00630070"/>
    <w:rsid w:val="0063230D"/>
    <w:rsid w:val="00632754"/>
    <w:rsid w:val="00633363"/>
    <w:rsid w:val="00636555"/>
    <w:rsid w:val="00636D32"/>
    <w:rsid w:val="0063763C"/>
    <w:rsid w:val="00641979"/>
    <w:rsid w:val="00643A7E"/>
    <w:rsid w:val="00645E45"/>
    <w:rsid w:val="00650B70"/>
    <w:rsid w:val="00654ACF"/>
    <w:rsid w:val="00655227"/>
    <w:rsid w:val="00655A77"/>
    <w:rsid w:val="00663DAC"/>
    <w:rsid w:val="00664C6A"/>
    <w:rsid w:val="00667299"/>
    <w:rsid w:val="00667591"/>
    <w:rsid w:val="00667987"/>
    <w:rsid w:val="006701AD"/>
    <w:rsid w:val="00670785"/>
    <w:rsid w:val="00671EF6"/>
    <w:rsid w:val="0067454B"/>
    <w:rsid w:val="00674D36"/>
    <w:rsid w:val="0067548E"/>
    <w:rsid w:val="00677C5F"/>
    <w:rsid w:val="00680BFB"/>
    <w:rsid w:val="006814D4"/>
    <w:rsid w:val="00687697"/>
    <w:rsid w:val="00687A17"/>
    <w:rsid w:val="00691FA6"/>
    <w:rsid w:val="006953FB"/>
    <w:rsid w:val="00697904"/>
    <w:rsid w:val="006A2C99"/>
    <w:rsid w:val="006A346B"/>
    <w:rsid w:val="006A412B"/>
    <w:rsid w:val="006A55C5"/>
    <w:rsid w:val="006A73F5"/>
    <w:rsid w:val="006A7B3A"/>
    <w:rsid w:val="006B1D86"/>
    <w:rsid w:val="006B341E"/>
    <w:rsid w:val="006B3F6F"/>
    <w:rsid w:val="006B7337"/>
    <w:rsid w:val="006C1400"/>
    <w:rsid w:val="006C53B2"/>
    <w:rsid w:val="006C64C9"/>
    <w:rsid w:val="006D203E"/>
    <w:rsid w:val="006D25ED"/>
    <w:rsid w:val="006D3612"/>
    <w:rsid w:val="006D3829"/>
    <w:rsid w:val="006D685B"/>
    <w:rsid w:val="006D73FB"/>
    <w:rsid w:val="006E1626"/>
    <w:rsid w:val="006E19F1"/>
    <w:rsid w:val="006E2825"/>
    <w:rsid w:val="006E454B"/>
    <w:rsid w:val="006E4D05"/>
    <w:rsid w:val="006F357F"/>
    <w:rsid w:val="006F5A99"/>
    <w:rsid w:val="006F5D7B"/>
    <w:rsid w:val="006F5FCC"/>
    <w:rsid w:val="006F6483"/>
    <w:rsid w:val="006F6A0C"/>
    <w:rsid w:val="006F6EC4"/>
    <w:rsid w:val="006F7578"/>
    <w:rsid w:val="00702D2B"/>
    <w:rsid w:val="00703464"/>
    <w:rsid w:val="007050D2"/>
    <w:rsid w:val="00705109"/>
    <w:rsid w:val="007067AA"/>
    <w:rsid w:val="00706E8F"/>
    <w:rsid w:val="007115CF"/>
    <w:rsid w:val="00712D0E"/>
    <w:rsid w:val="00714186"/>
    <w:rsid w:val="0071686B"/>
    <w:rsid w:val="00717A51"/>
    <w:rsid w:val="00720166"/>
    <w:rsid w:val="00721585"/>
    <w:rsid w:val="00721B80"/>
    <w:rsid w:val="00722708"/>
    <w:rsid w:val="007230DF"/>
    <w:rsid w:val="00724614"/>
    <w:rsid w:val="0073095B"/>
    <w:rsid w:val="0073102C"/>
    <w:rsid w:val="007362C5"/>
    <w:rsid w:val="00736858"/>
    <w:rsid w:val="007404C6"/>
    <w:rsid w:val="007438EE"/>
    <w:rsid w:val="00743A60"/>
    <w:rsid w:val="00746BB4"/>
    <w:rsid w:val="0075409F"/>
    <w:rsid w:val="00754BC1"/>
    <w:rsid w:val="00754FC5"/>
    <w:rsid w:val="007567FB"/>
    <w:rsid w:val="0076363B"/>
    <w:rsid w:val="00763ECD"/>
    <w:rsid w:val="007642F3"/>
    <w:rsid w:val="00765641"/>
    <w:rsid w:val="007703ED"/>
    <w:rsid w:val="007705C9"/>
    <w:rsid w:val="00771732"/>
    <w:rsid w:val="0077237A"/>
    <w:rsid w:val="0077576D"/>
    <w:rsid w:val="007765DD"/>
    <w:rsid w:val="00776E21"/>
    <w:rsid w:val="00780B85"/>
    <w:rsid w:val="00782664"/>
    <w:rsid w:val="007865FD"/>
    <w:rsid w:val="00786F10"/>
    <w:rsid w:val="007922C3"/>
    <w:rsid w:val="00793575"/>
    <w:rsid w:val="0079609A"/>
    <w:rsid w:val="00797F8E"/>
    <w:rsid w:val="007A6036"/>
    <w:rsid w:val="007A6BD0"/>
    <w:rsid w:val="007A74F7"/>
    <w:rsid w:val="007C158D"/>
    <w:rsid w:val="007C1DBA"/>
    <w:rsid w:val="007C37AC"/>
    <w:rsid w:val="007C3CE4"/>
    <w:rsid w:val="007C40C2"/>
    <w:rsid w:val="007C5A72"/>
    <w:rsid w:val="007C5C89"/>
    <w:rsid w:val="007C6C07"/>
    <w:rsid w:val="007D06F7"/>
    <w:rsid w:val="007D50D1"/>
    <w:rsid w:val="007D562A"/>
    <w:rsid w:val="007E0AED"/>
    <w:rsid w:val="007E21A4"/>
    <w:rsid w:val="007E48EB"/>
    <w:rsid w:val="007E615C"/>
    <w:rsid w:val="007E678C"/>
    <w:rsid w:val="007E7FA3"/>
    <w:rsid w:val="007F38C4"/>
    <w:rsid w:val="007F5B08"/>
    <w:rsid w:val="007F7996"/>
    <w:rsid w:val="00800A5A"/>
    <w:rsid w:val="00801187"/>
    <w:rsid w:val="008021DD"/>
    <w:rsid w:val="00805022"/>
    <w:rsid w:val="00806738"/>
    <w:rsid w:val="008107B4"/>
    <w:rsid w:val="00814083"/>
    <w:rsid w:val="008146A7"/>
    <w:rsid w:val="008152B4"/>
    <w:rsid w:val="00815CF7"/>
    <w:rsid w:val="00817472"/>
    <w:rsid w:val="00821B12"/>
    <w:rsid w:val="00823102"/>
    <w:rsid w:val="0083548B"/>
    <w:rsid w:val="00835490"/>
    <w:rsid w:val="0083739B"/>
    <w:rsid w:val="00837CEB"/>
    <w:rsid w:val="008402DB"/>
    <w:rsid w:val="0084353A"/>
    <w:rsid w:val="00843B27"/>
    <w:rsid w:val="008463F6"/>
    <w:rsid w:val="0085476A"/>
    <w:rsid w:val="00855BF3"/>
    <w:rsid w:val="008624BF"/>
    <w:rsid w:val="00863E22"/>
    <w:rsid w:val="00864B70"/>
    <w:rsid w:val="008657B7"/>
    <w:rsid w:val="0086720D"/>
    <w:rsid w:val="008676B6"/>
    <w:rsid w:val="0087027A"/>
    <w:rsid w:val="00870930"/>
    <w:rsid w:val="00870CD9"/>
    <w:rsid w:val="0087264F"/>
    <w:rsid w:val="0087596E"/>
    <w:rsid w:val="00875AE6"/>
    <w:rsid w:val="00876BB5"/>
    <w:rsid w:val="008817B6"/>
    <w:rsid w:val="008850D1"/>
    <w:rsid w:val="00890DE5"/>
    <w:rsid w:val="008914D7"/>
    <w:rsid w:val="00893B0E"/>
    <w:rsid w:val="00894CE7"/>
    <w:rsid w:val="00894FE0"/>
    <w:rsid w:val="008969FF"/>
    <w:rsid w:val="00897B65"/>
    <w:rsid w:val="008A1F0B"/>
    <w:rsid w:val="008A24BE"/>
    <w:rsid w:val="008B0269"/>
    <w:rsid w:val="008B13F4"/>
    <w:rsid w:val="008B21A5"/>
    <w:rsid w:val="008B45BC"/>
    <w:rsid w:val="008B5009"/>
    <w:rsid w:val="008B5B8D"/>
    <w:rsid w:val="008C03CF"/>
    <w:rsid w:val="008C09DE"/>
    <w:rsid w:val="008C150C"/>
    <w:rsid w:val="008C322B"/>
    <w:rsid w:val="008C39D3"/>
    <w:rsid w:val="008C3B5E"/>
    <w:rsid w:val="008C4627"/>
    <w:rsid w:val="008C67A8"/>
    <w:rsid w:val="008D668D"/>
    <w:rsid w:val="008E00CE"/>
    <w:rsid w:val="008E0A39"/>
    <w:rsid w:val="008E39E3"/>
    <w:rsid w:val="008F04B2"/>
    <w:rsid w:val="008F07D3"/>
    <w:rsid w:val="008F34EF"/>
    <w:rsid w:val="008F447A"/>
    <w:rsid w:val="008F5A84"/>
    <w:rsid w:val="008F7E60"/>
    <w:rsid w:val="00905931"/>
    <w:rsid w:val="00910337"/>
    <w:rsid w:val="00910559"/>
    <w:rsid w:val="00910F48"/>
    <w:rsid w:val="0091135B"/>
    <w:rsid w:val="00913556"/>
    <w:rsid w:val="009154EF"/>
    <w:rsid w:val="00916DBA"/>
    <w:rsid w:val="009205EB"/>
    <w:rsid w:val="0092354E"/>
    <w:rsid w:val="00924A3E"/>
    <w:rsid w:val="00926CB8"/>
    <w:rsid w:val="00931661"/>
    <w:rsid w:val="00931F65"/>
    <w:rsid w:val="00932730"/>
    <w:rsid w:val="00932BB4"/>
    <w:rsid w:val="00933344"/>
    <w:rsid w:val="00936777"/>
    <w:rsid w:val="00937D17"/>
    <w:rsid w:val="00940BA4"/>
    <w:rsid w:val="009435B3"/>
    <w:rsid w:val="00943D70"/>
    <w:rsid w:val="00944C73"/>
    <w:rsid w:val="00947404"/>
    <w:rsid w:val="009475D5"/>
    <w:rsid w:val="00950E85"/>
    <w:rsid w:val="009526B9"/>
    <w:rsid w:val="0095329A"/>
    <w:rsid w:val="00954E1D"/>
    <w:rsid w:val="00960E19"/>
    <w:rsid w:val="00961CE9"/>
    <w:rsid w:val="00963C2C"/>
    <w:rsid w:val="00963DCE"/>
    <w:rsid w:val="00964054"/>
    <w:rsid w:val="00967205"/>
    <w:rsid w:val="00967A54"/>
    <w:rsid w:val="00967C13"/>
    <w:rsid w:val="00971FFE"/>
    <w:rsid w:val="00975327"/>
    <w:rsid w:val="00977AEB"/>
    <w:rsid w:val="009815E2"/>
    <w:rsid w:val="00985032"/>
    <w:rsid w:val="00985E28"/>
    <w:rsid w:val="009860D3"/>
    <w:rsid w:val="009867D0"/>
    <w:rsid w:val="00987BF5"/>
    <w:rsid w:val="00987FBE"/>
    <w:rsid w:val="00990288"/>
    <w:rsid w:val="009902D4"/>
    <w:rsid w:val="0099245A"/>
    <w:rsid w:val="00995EC8"/>
    <w:rsid w:val="00996DBE"/>
    <w:rsid w:val="009971C5"/>
    <w:rsid w:val="009A0949"/>
    <w:rsid w:val="009B07CE"/>
    <w:rsid w:val="009B1C25"/>
    <w:rsid w:val="009B237D"/>
    <w:rsid w:val="009B2B7C"/>
    <w:rsid w:val="009B5091"/>
    <w:rsid w:val="009B756F"/>
    <w:rsid w:val="009C047F"/>
    <w:rsid w:val="009C0A6B"/>
    <w:rsid w:val="009C3CC0"/>
    <w:rsid w:val="009D2E03"/>
    <w:rsid w:val="009D5083"/>
    <w:rsid w:val="009D7505"/>
    <w:rsid w:val="009E03D9"/>
    <w:rsid w:val="009E4088"/>
    <w:rsid w:val="009E5864"/>
    <w:rsid w:val="009F22D8"/>
    <w:rsid w:val="009F28AB"/>
    <w:rsid w:val="009F3F87"/>
    <w:rsid w:val="009F532F"/>
    <w:rsid w:val="009F617B"/>
    <w:rsid w:val="009F6FE9"/>
    <w:rsid w:val="00A0328E"/>
    <w:rsid w:val="00A04DCA"/>
    <w:rsid w:val="00A05F0A"/>
    <w:rsid w:val="00A06E4F"/>
    <w:rsid w:val="00A0739D"/>
    <w:rsid w:val="00A07AD4"/>
    <w:rsid w:val="00A14719"/>
    <w:rsid w:val="00A22BC2"/>
    <w:rsid w:val="00A22D59"/>
    <w:rsid w:val="00A25571"/>
    <w:rsid w:val="00A26FF6"/>
    <w:rsid w:val="00A309C4"/>
    <w:rsid w:val="00A32A86"/>
    <w:rsid w:val="00A32D1D"/>
    <w:rsid w:val="00A33097"/>
    <w:rsid w:val="00A35D0E"/>
    <w:rsid w:val="00A36B15"/>
    <w:rsid w:val="00A373D5"/>
    <w:rsid w:val="00A42749"/>
    <w:rsid w:val="00A4348E"/>
    <w:rsid w:val="00A47722"/>
    <w:rsid w:val="00A53711"/>
    <w:rsid w:val="00A55770"/>
    <w:rsid w:val="00A5631C"/>
    <w:rsid w:val="00A674F4"/>
    <w:rsid w:val="00A7104D"/>
    <w:rsid w:val="00A73745"/>
    <w:rsid w:val="00A75C5C"/>
    <w:rsid w:val="00A7615A"/>
    <w:rsid w:val="00A7799E"/>
    <w:rsid w:val="00A80AEE"/>
    <w:rsid w:val="00A8191F"/>
    <w:rsid w:val="00A8229E"/>
    <w:rsid w:val="00A834F2"/>
    <w:rsid w:val="00A83837"/>
    <w:rsid w:val="00A8632E"/>
    <w:rsid w:val="00A932C6"/>
    <w:rsid w:val="00A97A31"/>
    <w:rsid w:val="00AA388A"/>
    <w:rsid w:val="00AA39BF"/>
    <w:rsid w:val="00AB1AE3"/>
    <w:rsid w:val="00AB2570"/>
    <w:rsid w:val="00AB311A"/>
    <w:rsid w:val="00AB58FB"/>
    <w:rsid w:val="00AB5A55"/>
    <w:rsid w:val="00AB6CA5"/>
    <w:rsid w:val="00AC0127"/>
    <w:rsid w:val="00AC0B6C"/>
    <w:rsid w:val="00AC37FF"/>
    <w:rsid w:val="00AC3A75"/>
    <w:rsid w:val="00AC5AB9"/>
    <w:rsid w:val="00AC63A5"/>
    <w:rsid w:val="00AD14D0"/>
    <w:rsid w:val="00AD2F33"/>
    <w:rsid w:val="00AE24ED"/>
    <w:rsid w:val="00AE3CAE"/>
    <w:rsid w:val="00AE51A0"/>
    <w:rsid w:val="00AE68A4"/>
    <w:rsid w:val="00AF0308"/>
    <w:rsid w:val="00AF5FFC"/>
    <w:rsid w:val="00AF6487"/>
    <w:rsid w:val="00B00A13"/>
    <w:rsid w:val="00B00B71"/>
    <w:rsid w:val="00B03BF0"/>
    <w:rsid w:val="00B1104F"/>
    <w:rsid w:val="00B1238B"/>
    <w:rsid w:val="00B12C26"/>
    <w:rsid w:val="00B172D6"/>
    <w:rsid w:val="00B177DF"/>
    <w:rsid w:val="00B21B33"/>
    <w:rsid w:val="00B303CF"/>
    <w:rsid w:val="00B33325"/>
    <w:rsid w:val="00B3616A"/>
    <w:rsid w:val="00B43038"/>
    <w:rsid w:val="00B4536E"/>
    <w:rsid w:val="00B46DE1"/>
    <w:rsid w:val="00B503B7"/>
    <w:rsid w:val="00B53CEA"/>
    <w:rsid w:val="00B555DB"/>
    <w:rsid w:val="00B5596F"/>
    <w:rsid w:val="00B559B6"/>
    <w:rsid w:val="00B55F63"/>
    <w:rsid w:val="00B771AE"/>
    <w:rsid w:val="00B77394"/>
    <w:rsid w:val="00B778D3"/>
    <w:rsid w:val="00B806E2"/>
    <w:rsid w:val="00B82A19"/>
    <w:rsid w:val="00B847D4"/>
    <w:rsid w:val="00B852A2"/>
    <w:rsid w:val="00B86D9C"/>
    <w:rsid w:val="00B90A12"/>
    <w:rsid w:val="00B91B61"/>
    <w:rsid w:val="00B9435C"/>
    <w:rsid w:val="00B95B4E"/>
    <w:rsid w:val="00B96CD3"/>
    <w:rsid w:val="00B9790C"/>
    <w:rsid w:val="00BA109D"/>
    <w:rsid w:val="00BA32C1"/>
    <w:rsid w:val="00BA538C"/>
    <w:rsid w:val="00BB17AE"/>
    <w:rsid w:val="00BB201A"/>
    <w:rsid w:val="00BB2A54"/>
    <w:rsid w:val="00BB2D4C"/>
    <w:rsid w:val="00BB33C0"/>
    <w:rsid w:val="00BB3933"/>
    <w:rsid w:val="00BB4A77"/>
    <w:rsid w:val="00BB5634"/>
    <w:rsid w:val="00BB5736"/>
    <w:rsid w:val="00BB5B5E"/>
    <w:rsid w:val="00BB6903"/>
    <w:rsid w:val="00BC45BE"/>
    <w:rsid w:val="00BC528D"/>
    <w:rsid w:val="00BD3474"/>
    <w:rsid w:val="00BD3D3D"/>
    <w:rsid w:val="00BD459E"/>
    <w:rsid w:val="00BD78B8"/>
    <w:rsid w:val="00BE0753"/>
    <w:rsid w:val="00BE2A67"/>
    <w:rsid w:val="00BE46A7"/>
    <w:rsid w:val="00BE5119"/>
    <w:rsid w:val="00BF170C"/>
    <w:rsid w:val="00BF47C2"/>
    <w:rsid w:val="00BF714F"/>
    <w:rsid w:val="00C0083E"/>
    <w:rsid w:val="00C02958"/>
    <w:rsid w:val="00C029DE"/>
    <w:rsid w:val="00C040FC"/>
    <w:rsid w:val="00C06C3C"/>
    <w:rsid w:val="00C121D3"/>
    <w:rsid w:val="00C1522F"/>
    <w:rsid w:val="00C15346"/>
    <w:rsid w:val="00C1589C"/>
    <w:rsid w:val="00C16750"/>
    <w:rsid w:val="00C1721B"/>
    <w:rsid w:val="00C2489B"/>
    <w:rsid w:val="00C26943"/>
    <w:rsid w:val="00C3033C"/>
    <w:rsid w:val="00C30568"/>
    <w:rsid w:val="00C331B2"/>
    <w:rsid w:val="00C3493E"/>
    <w:rsid w:val="00C3603D"/>
    <w:rsid w:val="00C3705A"/>
    <w:rsid w:val="00C411E0"/>
    <w:rsid w:val="00C42CB3"/>
    <w:rsid w:val="00C43061"/>
    <w:rsid w:val="00C43A0C"/>
    <w:rsid w:val="00C4599C"/>
    <w:rsid w:val="00C47889"/>
    <w:rsid w:val="00C5206D"/>
    <w:rsid w:val="00C54404"/>
    <w:rsid w:val="00C570AF"/>
    <w:rsid w:val="00C57E5F"/>
    <w:rsid w:val="00C60A3A"/>
    <w:rsid w:val="00C657C7"/>
    <w:rsid w:val="00C709F9"/>
    <w:rsid w:val="00C72830"/>
    <w:rsid w:val="00C74E32"/>
    <w:rsid w:val="00C755F6"/>
    <w:rsid w:val="00C77824"/>
    <w:rsid w:val="00C82257"/>
    <w:rsid w:val="00C843BF"/>
    <w:rsid w:val="00C85193"/>
    <w:rsid w:val="00C852B2"/>
    <w:rsid w:val="00C8594E"/>
    <w:rsid w:val="00C9191C"/>
    <w:rsid w:val="00C927D8"/>
    <w:rsid w:val="00C96E97"/>
    <w:rsid w:val="00C96FAA"/>
    <w:rsid w:val="00C97202"/>
    <w:rsid w:val="00C9732D"/>
    <w:rsid w:val="00C9792F"/>
    <w:rsid w:val="00CA0214"/>
    <w:rsid w:val="00CA4F41"/>
    <w:rsid w:val="00CA6681"/>
    <w:rsid w:val="00CA6C88"/>
    <w:rsid w:val="00CA7751"/>
    <w:rsid w:val="00CB6C07"/>
    <w:rsid w:val="00CC1FEF"/>
    <w:rsid w:val="00CC3210"/>
    <w:rsid w:val="00CC3B9A"/>
    <w:rsid w:val="00CC534F"/>
    <w:rsid w:val="00CC58AF"/>
    <w:rsid w:val="00CD1F81"/>
    <w:rsid w:val="00CD27D3"/>
    <w:rsid w:val="00CD29B0"/>
    <w:rsid w:val="00CD2B27"/>
    <w:rsid w:val="00CD73A2"/>
    <w:rsid w:val="00CE11EB"/>
    <w:rsid w:val="00CE4CF4"/>
    <w:rsid w:val="00CF407F"/>
    <w:rsid w:val="00CF41F3"/>
    <w:rsid w:val="00CF5C68"/>
    <w:rsid w:val="00CF7550"/>
    <w:rsid w:val="00D04ACC"/>
    <w:rsid w:val="00D075CC"/>
    <w:rsid w:val="00D11488"/>
    <w:rsid w:val="00D114A7"/>
    <w:rsid w:val="00D127D9"/>
    <w:rsid w:val="00D138EF"/>
    <w:rsid w:val="00D14CDA"/>
    <w:rsid w:val="00D21187"/>
    <w:rsid w:val="00D260D3"/>
    <w:rsid w:val="00D32E67"/>
    <w:rsid w:val="00D3369A"/>
    <w:rsid w:val="00D3412F"/>
    <w:rsid w:val="00D353D3"/>
    <w:rsid w:val="00D35D22"/>
    <w:rsid w:val="00D41B74"/>
    <w:rsid w:val="00D4340D"/>
    <w:rsid w:val="00D45F68"/>
    <w:rsid w:val="00D47244"/>
    <w:rsid w:val="00D47E85"/>
    <w:rsid w:val="00D51821"/>
    <w:rsid w:val="00D56F1C"/>
    <w:rsid w:val="00D57223"/>
    <w:rsid w:val="00D60B87"/>
    <w:rsid w:val="00D612F9"/>
    <w:rsid w:val="00D63030"/>
    <w:rsid w:val="00D63EAD"/>
    <w:rsid w:val="00D667E0"/>
    <w:rsid w:val="00D74E56"/>
    <w:rsid w:val="00D75186"/>
    <w:rsid w:val="00D752EA"/>
    <w:rsid w:val="00D818F6"/>
    <w:rsid w:val="00D871CC"/>
    <w:rsid w:val="00D90C5A"/>
    <w:rsid w:val="00D948BD"/>
    <w:rsid w:val="00D965FE"/>
    <w:rsid w:val="00D96968"/>
    <w:rsid w:val="00D975D7"/>
    <w:rsid w:val="00D97CB5"/>
    <w:rsid w:val="00DA47B2"/>
    <w:rsid w:val="00DA644B"/>
    <w:rsid w:val="00DA7EBD"/>
    <w:rsid w:val="00DB0B17"/>
    <w:rsid w:val="00DB11D8"/>
    <w:rsid w:val="00DB2D1B"/>
    <w:rsid w:val="00DB592A"/>
    <w:rsid w:val="00DB75D2"/>
    <w:rsid w:val="00DC046A"/>
    <w:rsid w:val="00DC0604"/>
    <w:rsid w:val="00DC2386"/>
    <w:rsid w:val="00DC3B87"/>
    <w:rsid w:val="00DC6571"/>
    <w:rsid w:val="00DD2925"/>
    <w:rsid w:val="00DD2E2C"/>
    <w:rsid w:val="00DE005F"/>
    <w:rsid w:val="00DE03AC"/>
    <w:rsid w:val="00DE0729"/>
    <w:rsid w:val="00DE1981"/>
    <w:rsid w:val="00DE2296"/>
    <w:rsid w:val="00DE30C2"/>
    <w:rsid w:val="00DF1019"/>
    <w:rsid w:val="00DF154F"/>
    <w:rsid w:val="00DF2681"/>
    <w:rsid w:val="00DF3852"/>
    <w:rsid w:val="00DF5C85"/>
    <w:rsid w:val="00DF6833"/>
    <w:rsid w:val="00E03657"/>
    <w:rsid w:val="00E03F68"/>
    <w:rsid w:val="00E06D0E"/>
    <w:rsid w:val="00E12FA8"/>
    <w:rsid w:val="00E13C44"/>
    <w:rsid w:val="00E14E93"/>
    <w:rsid w:val="00E15037"/>
    <w:rsid w:val="00E159E0"/>
    <w:rsid w:val="00E15B1F"/>
    <w:rsid w:val="00E162A3"/>
    <w:rsid w:val="00E2319C"/>
    <w:rsid w:val="00E24F4D"/>
    <w:rsid w:val="00E255E9"/>
    <w:rsid w:val="00E25A26"/>
    <w:rsid w:val="00E273E1"/>
    <w:rsid w:val="00E27D2D"/>
    <w:rsid w:val="00E30C09"/>
    <w:rsid w:val="00E30C63"/>
    <w:rsid w:val="00E31B54"/>
    <w:rsid w:val="00E31D43"/>
    <w:rsid w:val="00E32A45"/>
    <w:rsid w:val="00E32FDF"/>
    <w:rsid w:val="00E33D95"/>
    <w:rsid w:val="00E349F8"/>
    <w:rsid w:val="00E35561"/>
    <w:rsid w:val="00E35EB4"/>
    <w:rsid w:val="00E412BD"/>
    <w:rsid w:val="00E41E59"/>
    <w:rsid w:val="00E4474F"/>
    <w:rsid w:val="00E447C1"/>
    <w:rsid w:val="00E46A4E"/>
    <w:rsid w:val="00E46C96"/>
    <w:rsid w:val="00E46E6E"/>
    <w:rsid w:val="00E477E7"/>
    <w:rsid w:val="00E47C64"/>
    <w:rsid w:val="00E50488"/>
    <w:rsid w:val="00E5089E"/>
    <w:rsid w:val="00E51910"/>
    <w:rsid w:val="00E553C4"/>
    <w:rsid w:val="00E55C47"/>
    <w:rsid w:val="00E567BD"/>
    <w:rsid w:val="00E56EAD"/>
    <w:rsid w:val="00E63983"/>
    <w:rsid w:val="00E63A0C"/>
    <w:rsid w:val="00E65667"/>
    <w:rsid w:val="00E6642B"/>
    <w:rsid w:val="00E67FD2"/>
    <w:rsid w:val="00E73A8B"/>
    <w:rsid w:val="00E750B7"/>
    <w:rsid w:val="00E76ABD"/>
    <w:rsid w:val="00E81FC1"/>
    <w:rsid w:val="00E82A3A"/>
    <w:rsid w:val="00E82FF5"/>
    <w:rsid w:val="00E83A32"/>
    <w:rsid w:val="00E84C76"/>
    <w:rsid w:val="00E85B00"/>
    <w:rsid w:val="00E864AF"/>
    <w:rsid w:val="00E86566"/>
    <w:rsid w:val="00E922CB"/>
    <w:rsid w:val="00E92FE0"/>
    <w:rsid w:val="00E9312F"/>
    <w:rsid w:val="00E95731"/>
    <w:rsid w:val="00E96A13"/>
    <w:rsid w:val="00EA1B5A"/>
    <w:rsid w:val="00EA41E6"/>
    <w:rsid w:val="00EA558D"/>
    <w:rsid w:val="00EA74B4"/>
    <w:rsid w:val="00EB5D4B"/>
    <w:rsid w:val="00EB7EAB"/>
    <w:rsid w:val="00EC0C92"/>
    <w:rsid w:val="00EC7ED3"/>
    <w:rsid w:val="00ED091A"/>
    <w:rsid w:val="00ED1E1D"/>
    <w:rsid w:val="00ED3806"/>
    <w:rsid w:val="00ED513D"/>
    <w:rsid w:val="00ED52F8"/>
    <w:rsid w:val="00EE04F6"/>
    <w:rsid w:val="00EE4649"/>
    <w:rsid w:val="00EE54F2"/>
    <w:rsid w:val="00EE7924"/>
    <w:rsid w:val="00EF225F"/>
    <w:rsid w:val="00EF3326"/>
    <w:rsid w:val="00EF5A39"/>
    <w:rsid w:val="00EF6C58"/>
    <w:rsid w:val="00F00091"/>
    <w:rsid w:val="00F00601"/>
    <w:rsid w:val="00F027C9"/>
    <w:rsid w:val="00F0298D"/>
    <w:rsid w:val="00F03FD8"/>
    <w:rsid w:val="00F04378"/>
    <w:rsid w:val="00F07151"/>
    <w:rsid w:val="00F073F9"/>
    <w:rsid w:val="00F12A3B"/>
    <w:rsid w:val="00F139D8"/>
    <w:rsid w:val="00F141D0"/>
    <w:rsid w:val="00F1522B"/>
    <w:rsid w:val="00F152AE"/>
    <w:rsid w:val="00F17D09"/>
    <w:rsid w:val="00F210BD"/>
    <w:rsid w:val="00F23CCE"/>
    <w:rsid w:val="00F2491A"/>
    <w:rsid w:val="00F25F5A"/>
    <w:rsid w:val="00F30401"/>
    <w:rsid w:val="00F30E00"/>
    <w:rsid w:val="00F36E1E"/>
    <w:rsid w:val="00F37485"/>
    <w:rsid w:val="00F402F4"/>
    <w:rsid w:val="00F44AA8"/>
    <w:rsid w:val="00F45786"/>
    <w:rsid w:val="00F47354"/>
    <w:rsid w:val="00F502D3"/>
    <w:rsid w:val="00F547D9"/>
    <w:rsid w:val="00F54C19"/>
    <w:rsid w:val="00F56B7E"/>
    <w:rsid w:val="00F57759"/>
    <w:rsid w:val="00F57C22"/>
    <w:rsid w:val="00F57FD0"/>
    <w:rsid w:val="00F60780"/>
    <w:rsid w:val="00F6078C"/>
    <w:rsid w:val="00F6309E"/>
    <w:rsid w:val="00F63C69"/>
    <w:rsid w:val="00F63D46"/>
    <w:rsid w:val="00F66482"/>
    <w:rsid w:val="00F66A00"/>
    <w:rsid w:val="00F70B7D"/>
    <w:rsid w:val="00F71A9D"/>
    <w:rsid w:val="00F73517"/>
    <w:rsid w:val="00F756EB"/>
    <w:rsid w:val="00F772AC"/>
    <w:rsid w:val="00F77EE3"/>
    <w:rsid w:val="00F81828"/>
    <w:rsid w:val="00F83A45"/>
    <w:rsid w:val="00F85BD1"/>
    <w:rsid w:val="00F86BE6"/>
    <w:rsid w:val="00F908A7"/>
    <w:rsid w:val="00F90AEF"/>
    <w:rsid w:val="00F939E8"/>
    <w:rsid w:val="00F95E0E"/>
    <w:rsid w:val="00FA0F76"/>
    <w:rsid w:val="00FA24CB"/>
    <w:rsid w:val="00FA2F1C"/>
    <w:rsid w:val="00FA39CB"/>
    <w:rsid w:val="00FA54BC"/>
    <w:rsid w:val="00FB1473"/>
    <w:rsid w:val="00FB1C9B"/>
    <w:rsid w:val="00FB2FD3"/>
    <w:rsid w:val="00FB380F"/>
    <w:rsid w:val="00FB4275"/>
    <w:rsid w:val="00FB574D"/>
    <w:rsid w:val="00FC2D29"/>
    <w:rsid w:val="00FC3297"/>
    <w:rsid w:val="00FC658E"/>
    <w:rsid w:val="00FD02B8"/>
    <w:rsid w:val="00FD14FC"/>
    <w:rsid w:val="00FD2381"/>
    <w:rsid w:val="00FD3BD9"/>
    <w:rsid w:val="00FD4227"/>
    <w:rsid w:val="00FD48BF"/>
    <w:rsid w:val="00FD4AE8"/>
    <w:rsid w:val="00FE3B54"/>
    <w:rsid w:val="00FE58F9"/>
    <w:rsid w:val="00FE736C"/>
    <w:rsid w:val="00FF05F4"/>
    <w:rsid w:val="00FF10EF"/>
    <w:rsid w:val="00FF1632"/>
    <w:rsid w:val="00FF2D57"/>
    <w:rsid w:val="00FF2DC8"/>
    <w:rsid w:val="00FF35DA"/>
    <w:rsid w:val="00FF38EB"/>
    <w:rsid w:val="00FF5561"/>
    <w:rsid w:val="00FF65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1A63A1"/>
  <w15:chartTrackingRefBased/>
  <w15:docId w15:val="{EB3A5D8B-373B-404B-8564-3E498EB9F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heme="minorBidi"/>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405AF"/>
    <w:rPr>
      <w:rFonts w:asciiTheme="minorHAnsi" w:hAnsiTheme="minorHAnsi"/>
      <w:szCs w:val="22"/>
    </w:rPr>
  </w:style>
  <w:style w:type="paragraph" w:styleId="Heading1">
    <w:name w:val="heading 1"/>
    <w:aliases w:val="FSA Heading 1"/>
    <w:basedOn w:val="Normal"/>
    <w:next w:val="Normal"/>
    <w:link w:val="Heading1Char"/>
    <w:uiPriority w:val="9"/>
    <w:qFormat/>
    <w:rsid w:val="00C96E97"/>
    <w:pPr>
      <w:keepNext/>
      <w:keepLines/>
      <w:numPr>
        <w:numId w:val="2"/>
      </w:numPr>
      <w:spacing w:after="240" w:line="300" w:lineRule="auto"/>
      <w:outlineLvl w:val="0"/>
    </w:pPr>
    <w:rPr>
      <w:rFonts w:eastAsiaTheme="majorEastAsia" w:cstheme="majorBidi"/>
      <w:b/>
      <w:color w:val="775431"/>
      <w:sz w:val="32"/>
      <w:szCs w:val="32"/>
    </w:rPr>
  </w:style>
  <w:style w:type="paragraph" w:styleId="Heading2">
    <w:name w:val="heading 2"/>
    <w:aliases w:val="FSA Heading 2"/>
    <w:basedOn w:val="FSADocumentText"/>
    <w:next w:val="Normal"/>
    <w:link w:val="Heading2Char"/>
    <w:uiPriority w:val="9"/>
    <w:unhideWhenUsed/>
    <w:qFormat/>
    <w:rsid w:val="00655227"/>
    <w:pPr>
      <w:numPr>
        <w:ilvl w:val="1"/>
        <w:numId w:val="2"/>
      </w:numPr>
      <w:spacing w:after="240" w:line="276" w:lineRule="auto"/>
      <w:outlineLvl w:val="1"/>
    </w:pPr>
  </w:style>
  <w:style w:type="paragraph" w:styleId="Heading3">
    <w:name w:val="heading 3"/>
    <w:aliases w:val="FSA Heading 3"/>
    <w:basedOn w:val="Normal"/>
    <w:next w:val="Normal"/>
    <w:link w:val="Heading3Char"/>
    <w:uiPriority w:val="9"/>
    <w:unhideWhenUsed/>
    <w:qFormat/>
    <w:rsid w:val="007F38C4"/>
    <w:pPr>
      <w:keepNext/>
      <w:keepLines/>
      <w:numPr>
        <w:ilvl w:val="2"/>
        <w:numId w:val="2"/>
      </w:numPr>
      <w:spacing w:before="40" w:after="240" w:line="300" w:lineRule="auto"/>
      <w:outlineLvl w:val="2"/>
    </w:pPr>
    <w:rPr>
      <w:rFonts w:eastAsiaTheme="majorEastAsia" w:cstheme="majorBidi"/>
      <w:szCs w:val="24"/>
    </w:rPr>
  </w:style>
  <w:style w:type="paragraph" w:styleId="Heading4">
    <w:name w:val="heading 4"/>
    <w:basedOn w:val="Normal"/>
    <w:next w:val="Normal"/>
    <w:link w:val="Heading4Char"/>
    <w:uiPriority w:val="9"/>
    <w:unhideWhenUsed/>
    <w:qFormat/>
    <w:rsid w:val="0033123C"/>
    <w:pPr>
      <w:keepNext/>
      <w:keepLines/>
      <w:numPr>
        <w:ilvl w:val="3"/>
        <w:numId w:val="2"/>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33123C"/>
    <w:pPr>
      <w:keepNext/>
      <w:keepLines/>
      <w:numPr>
        <w:ilvl w:val="4"/>
        <w:numId w:val="2"/>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33123C"/>
    <w:pPr>
      <w:keepNext/>
      <w:keepLines/>
      <w:numPr>
        <w:ilvl w:val="5"/>
        <w:numId w:val="2"/>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33123C"/>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33123C"/>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3123C"/>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54EF"/>
    <w:pPr>
      <w:tabs>
        <w:tab w:val="center" w:pos="4513"/>
        <w:tab w:val="right" w:pos="9026"/>
      </w:tabs>
    </w:pPr>
  </w:style>
  <w:style w:type="character" w:customStyle="1" w:styleId="HeaderChar">
    <w:name w:val="Header Char"/>
    <w:basedOn w:val="DefaultParagraphFont"/>
    <w:link w:val="Header"/>
    <w:uiPriority w:val="99"/>
    <w:rsid w:val="009154EF"/>
    <w:rPr>
      <w:rFonts w:asciiTheme="minorHAnsi" w:hAnsiTheme="minorHAnsi"/>
      <w:sz w:val="22"/>
      <w:szCs w:val="22"/>
    </w:rPr>
  </w:style>
  <w:style w:type="paragraph" w:styleId="Footer">
    <w:name w:val="footer"/>
    <w:basedOn w:val="Normal"/>
    <w:link w:val="FooterChar"/>
    <w:uiPriority w:val="99"/>
    <w:unhideWhenUsed/>
    <w:rsid w:val="009154EF"/>
    <w:pPr>
      <w:tabs>
        <w:tab w:val="center" w:pos="4513"/>
        <w:tab w:val="right" w:pos="9026"/>
      </w:tabs>
    </w:pPr>
  </w:style>
  <w:style w:type="character" w:customStyle="1" w:styleId="FooterChar">
    <w:name w:val="Footer Char"/>
    <w:basedOn w:val="DefaultParagraphFont"/>
    <w:link w:val="Footer"/>
    <w:uiPriority w:val="99"/>
    <w:rsid w:val="009154EF"/>
    <w:rPr>
      <w:rFonts w:asciiTheme="minorHAnsi" w:hAnsiTheme="minorHAnsi"/>
      <w:sz w:val="22"/>
      <w:szCs w:val="22"/>
    </w:rPr>
  </w:style>
  <w:style w:type="character" w:styleId="Hyperlink">
    <w:name w:val="Hyperlink"/>
    <w:basedOn w:val="DefaultParagraphFont"/>
    <w:uiPriority w:val="99"/>
    <w:unhideWhenUsed/>
    <w:rsid w:val="009154EF"/>
    <w:rPr>
      <w:color w:val="0563C1"/>
      <w:u w:val="single"/>
    </w:rPr>
  </w:style>
  <w:style w:type="paragraph" w:styleId="ListParagraph">
    <w:name w:val="List Paragraph"/>
    <w:basedOn w:val="Normal"/>
    <w:uiPriority w:val="34"/>
    <w:qFormat/>
    <w:rsid w:val="009154EF"/>
    <w:pPr>
      <w:ind w:left="720"/>
      <w:contextualSpacing/>
    </w:pPr>
  </w:style>
  <w:style w:type="paragraph" w:customStyle="1" w:styleId="Default">
    <w:name w:val="Default"/>
    <w:rsid w:val="00654ACF"/>
    <w:pPr>
      <w:autoSpaceDE w:val="0"/>
      <w:autoSpaceDN w:val="0"/>
      <w:adjustRightInd w:val="0"/>
    </w:pPr>
    <w:rPr>
      <w:rFonts w:ascii="Arial" w:hAnsi="Arial" w:cs="Arial"/>
      <w:color w:val="000000"/>
    </w:rPr>
  </w:style>
  <w:style w:type="paragraph" w:styleId="BalloonText">
    <w:name w:val="Balloon Text"/>
    <w:basedOn w:val="Normal"/>
    <w:link w:val="BalloonTextChar"/>
    <w:uiPriority w:val="99"/>
    <w:semiHidden/>
    <w:unhideWhenUsed/>
    <w:rsid w:val="0079609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609A"/>
    <w:rPr>
      <w:rFonts w:ascii="Segoe UI" w:hAnsi="Segoe UI" w:cs="Segoe UI"/>
      <w:sz w:val="18"/>
      <w:szCs w:val="18"/>
    </w:rPr>
  </w:style>
  <w:style w:type="paragraph" w:customStyle="1" w:styleId="HeadingFSA">
    <w:name w:val="Heading FSA"/>
    <w:basedOn w:val="Normal"/>
    <w:link w:val="HeadingFSAChar"/>
    <w:rsid w:val="00AB1AE3"/>
    <w:pPr>
      <w:spacing w:before="120" w:after="120" w:line="276" w:lineRule="auto"/>
    </w:pPr>
    <w:rPr>
      <w:rFonts w:ascii="Calibri" w:hAnsi="Calibri"/>
      <w:b/>
      <w:sz w:val="28"/>
      <w:szCs w:val="28"/>
    </w:rPr>
  </w:style>
  <w:style w:type="character" w:customStyle="1" w:styleId="HeadingFSAChar">
    <w:name w:val="Heading FSA Char"/>
    <w:basedOn w:val="DefaultParagraphFont"/>
    <w:link w:val="HeadingFSA"/>
    <w:rsid w:val="00AB1AE3"/>
    <w:rPr>
      <w:b/>
      <w:sz w:val="28"/>
      <w:szCs w:val="28"/>
    </w:rPr>
  </w:style>
  <w:style w:type="paragraph" w:customStyle="1" w:styleId="FSACoverSheetMainTitle">
    <w:name w:val="FSA Cover Sheet Main Title"/>
    <w:basedOn w:val="Normal"/>
    <w:qFormat/>
    <w:rsid w:val="006C53B2"/>
    <w:pPr>
      <w:jc w:val="center"/>
    </w:pPr>
    <w:rPr>
      <w:rFonts w:ascii="Calibri" w:hAnsi="Calibri"/>
      <w:b/>
      <w:color w:val="775431"/>
      <w:sz w:val="52"/>
      <w:szCs w:val="52"/>
    </w:rPr>
  </w:style>
  <w:style w:type="paragraph" w:customStyle="1" w:styleId="FSACoverSheetSub-title">
    <w:name w:val="FSA Cover Sheet Sub-title"/>
    <w:basedOn w:val="Normal"/>
    <w:qFormat/>
    <w:rsid w:val="006C53B2"/>
    <w:pPr>
      <w:jc w:val="center"/>
    </w:pPr>
    <w:rPr>
      <w:rFonts w:ascii="Calibri" w:hAnsi="Calibri"/>
      <w:b/>
      <w:color w:val="775431"/>
      <w:sz w:val="44"/>
      <w:szCs w:val="44"/>
    </w:rPr>
  </w:style>
  <w:style w:type="paragraph" w:customStyle="1" w:styleId="FSACoverSheetdocumentdate">
    <w:name w:val="FSA Cover Sheet document date"/>
    <w:basedOn w:val="Normal"/>
    <w:qFormat/>
    <w:rsid w:val="006C53B2"/>
    <w:pPr>
      <w:jc w:val="center"/>
    </w:pPr>
    <w:rPr>
      <w:rFonts w:ascii="Calibri" w:hAnsi="Calibri"/>
      <w:b/>
      <w:color w:val="775431"/>
      <w:sz w:val="40"/>
      <w:szCs w:val="40"/>
    </w:rPr>
  </w:style>
  <w:style w:type="paragraph" w:customStyle="1" w:styleId="FSADocumentMainHeading">
    <w:name w:val="FSA Document Main Heading"/>
    <w:basedOn w:val="Normal"/>
    <w:rsid w:val="00691FA6"/>
    <w:pPr>
      <w:spacing w:before="120" w:after="120" w:line="276" w:lineRule="auto"/>
    </w:pPr>
    <w:rPr>
      <w:rFonts w:ascii="Calibri" w:hAnsi="Calibri"/>
      <w:b/>
      <w:color w:val="775431"/>
      <w:sz w:val="32"/>
      <w:szCs w:val="32"/>
    </w:rPr>
  </w:style>
  <w:style w:type="paragraph" w:customStyle="1" w:styleId="FSADocumentSub-Heading">
    <w:name w:val="FSA Document Sub-Heading"/>
    <w:basedOn w:val="HeadingFSA"/>
    <w:rsid w:val="00691FA6"/>
    <w:pPr>
      <w:spacing w:before="0" w:after="0"/>
    </w:pPr>
    <w:rPr>
      <w:color w:val="775431"/>
    </w:rPr>
  </w:style>
  <w:style w:type="paragraph" w:styleId="NoSpacing">
    <w:name w:val="No Spacing"/>
    <w:uiPriority w:val="1"/>
    <w:rsid w:val="003405AF"/>
    <w:rPr>
      <w:rFonts w:asciiTheme="minorHAnsi" w:hAnsiTheme="minorHAnsi"/>
      <w:sz w:val="22"/>
      <w:szCs w:val="22"/>
    </w:rPr>
  </w:style>
  <w:style w:type="paragraph" w:customStyle="1" w:styleId="FSADocumentText">
    <w:name w:val="FSA Document Text"/>
    <w:basedOn w:val="Default"/>
    <w:qFormat/>
    <w:rsid w:val="003405AF"/>
    <w:rPr>
      <w:rFonts w:asciiTheme="minorHAnsi" w:hAnsiTheme="minorHAnsi"/>
    </w:rPr>
  </w:style>
  <w:style w:type="paragraph" w:customStyle="1" w:styleId="FSAPageNumber">
    <w:name w:val="FSA Page Number"/>
    <w:basedOn w:val="Footer"/>
    <w:qFormat/>
    <w:rsid w:val="003405AF"/>
    <w:rPr>
      <w:color w:val="636466"/>
      <w:sz w:val="20"/>
      <w:szCs w:val="20"/>
    </w:rPr>
  </w:style>
  <w:style w:type="character" w:customStyle="1" w:styleId="Heading1Char">
    <w:name w:val="Heading 1 Char"/>
    <w:aliases w:val="FSA Heading 1 Char"/>
    <w:basedOn w:val="DefaultParagraphFont"/>
    <w:link w:val="Heading1"/>
    <w:uiPriority w:val="9"/>
    <w:rsid w:val="00C96E97"/>
    <w:rPr>
      <w:rFonts w:asciiTheme="minorHAnsi" w:eastAsiaTheme="majorEastAsia" w:hAnsiTheme="minorHAnsi" w:cstheme="majorBidi"/>
      <w:b/>
      <w:color w:val="775431"/>
      <w:sz w:val="32"/>
      <w:szCs w:val="32"/>
    </w:rPr>
  </w:style>
  <w:style w:type="character" w:customStyle="1" w:styleId="Heading2Char">
    <w:name w:val="Heading 2 Char"/>
    <w:aliases w:val="FSA Heading 2 Char"/>
    <w:basedOn w:val="DefaultParagraphFont"/>
    <w:link w:val="Heading2"/>
    <w:uiPriority w:val="9"/>
    <w:rsid w:val="00655227"/>
    <w:rPr>
      <w:rFonts w:asciiTheme="minorHAnsi" w:hAnsiTheme="minorHAnsi" w:cs="Arial"/>
      <w:color w:val="000000"/>
    </w:rPr>
  </w:style>
  <w:style w:type="character" w:customStyle="1" w:styleId="Heading3Char">
    <w:name w:val="Heading 3 Char"/>
    <w:aliases w:val="FSA Heading 3 Char"/>
    <w:basedOn w:val="DefaultParagraphFont"/>
    <w:link w:val="Heading3"/>
    <w:uiPriority w:val="9"/>
    <w:rsid w:val="007F38C4"/>
    <w:rPr>
      <w:rFonts w:asciiTheme="minorHAnsi" w:eastAsiaTheme="majorEastAsia" w:hAnsiTheme="minorHAnsi" w:cstheme="majorBidi"/>
    </w:rPr>
  </w:style>
  <w:style w:type="paragraph" w:styleId="TOCHeading">
    <w:name w:val="TOC Heading"/>
    <w:basedOn w:val="Heading1"/>
    <w:next w:val="Normal"/>
    <w:uiPriority w:val="39"/>
    <w:unhideWhenUsed/>
    <w:qFormat/>
    <w:rsid w:val="0033123C"/>
    <w:pPr>
      <w:numPr>
        <w:numId w:val="0"/>
      </w:numPr>
      <w:spacing w:line="259" w:lineRule="auto"/>
      <w:outlineLvl w:val="9"/>
    </w:pPr>
    <w:rPr>
      <w:rFonts w:asciiTheme="majorHAnsi" w:hAnsiTheme="majorHAnsi"/>
      <w:b w:val="0"/>
      <w:color w:val="2E74B5" w:themeColor="accent1" w:themeShade="BF"/>
      <w:lang w:val="en-US"/>
    </w:rPr>
  </w:style>
  <w:style w:type="paragraph" w:styleId="TOC1">
    <w:name w:val="toc 1"/>
    <w:basedOn w:val="Normal"/>
    <w:next w:val="Normal"/>
    <w:autoRedefine/>
    <w:uiPriority w:val="39"/>
    <w:unhideWhenUsed/>
    <w:rsid w:val="0033123C"/>
    <w:pPr>
      <w:spacing w:after="100"/>
    </w:pPr>
  </w:style>
  <w:style w:type="paragraph" w:styleId="TOC2">
    <w:name w:val="toc 2"/>
    <w:basedOn w:val="Normal"/>
    <w:next w:val="Normal"/>
    <w:autoRedefine/>
    <w:uiPriority w:val="39"/>
    <w:unhideWhenUsed/>
    <w:rsid w:val="0033123C"/>
    <w:pPr>
      <w:spacing w:after="100"/>
      <w:ind w:left="240"/>
    </w:pPr>
  </w:style>
  <w:style w:type="character" w:customStyle="1" w:styleId="Heading4Char">
    <w:name w:val="Heading 4 Char"/>
    <w:basedOn w:val="DefaultParagraphFont"/>
    <w:link w:val="Heading4"/>
    <w:uiPriority w:val="9"/>
    <w:rsid w:val="0033123C"/>
    <w:rPr>
      <w:rFonts w:asciiTheme="majorHAnsi" w:eastAsiaTheme="majorEastAsia" w:hAnsiTheme="majorHAnsi" w:cstheme="majorBidi"/>
      <w:i/>
      <w:iCs/>
      <w:color w:val="2E74B5" w:themeColor="accent1" w:themeShade="BF"/>
      <w:szCs w:val="22"/>
    </w:rPr>
  </w:style>
  <w:style w:type="character" w:customStyle="1" w:styleId="Heading5Char">
    <w:name w:val="Heading 5 Char"/>
    <w:basedOn w:val="DefaultParagraphFont"/>
    <w:link w:val="Heading5"/>
    <w:uiPriority w:val="9"/>
    <w:semiHidden/>
    <w:rsid w:val="0033123C"/>
    <w:rPr>
      <w:rFonts w:asciiTheme="majorHAnsi" w:eastAsiaTheme="majorEastAsia" w:hAnsiTheme="majorHAnsi" w:cstheme="majorBidi"/>
      <w:color w:val="2E74B5" w:themeColor="accent1" w:themeShade="BF"/>
      <w:szCs w:val="22"/>
    </w:rPr>
  </w:style>
  <w:style w:type="character" w:customStyle="1" w:styleId="Heading6Char">
    <w:name w:val="Heading 6 Char"/>
    <w:basedOn w:val="DefaultParagraphFont"/>
    <w:link w:val="Heading6"/>
    <w:uiPriority w:val="9"/>
    <w:semiHidden/>
    <w:rsid w:val="0033123C"/>
    <w:rPr>
      <w:rFonts w:asciiTheme="majorHAnsi" w:eastAsiaTheme="majorEastAsia" w:hAnsiTheme="majorHAnsi" w:cstheme="majorBidi"/>
      <w:color w:val="1F4D78" w:themeColor="accent1" w:themeShade="7F"/>
      <w:szCs w:val="22"/>
    </w:rPr>
  </w:style>
  <w:style w:type="character" w:customStyle="1" w:styleId="Heading7Char">
    <w:name w:val="Heading 7 Char"/>
    <w:basedOn w:val="DefaultParagraphFont"/>
    <w:link w:val="Heading7"/>
    <w:uiPriority w:val="9"/>
    <w:semiHidden/>
    <w:rsid w:val="0033123C"/>
    <w:rPr>
      <w:rFonts w:asciiTheme="majorHAnsi" w:eastAsiaTheme="majorEastAsia" w:hAnsiTheme="majorHAnsi" w:cstheme="majorBidi"/>
      <w:i/>
      <w:iCs/>
      <w:color w:val="1F4D78" w:themeColor="accent1" w:themeShade="7F"/>
      <w:szCs w:val="22"/>
    </w:rPr>
  </w:style>
  <w:style w:type="character" w:customStyle="1" w:styleId="Heading8Char">
    <w:name w:val="Heading 8 Char"/>
    <w:basedOn w:val="DefaultParagraphFont"/>
    <w:link w:val="Heading8"/>
    <w:uiPriority w:val="9"/>
    <w:semiHidden/>
    <w:rsid w:val="0033123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3123C"/>
    <w:rPr>
      <w:rFonts w:asciiTheme="majorHAnsi" w:eastAsiaTheme="majorEastAsia" w:hAnsiTheme="majorHAnsi" w:cstheme="majorBidi"/>
      <w:i/>
      <w:iCs/>
      <w:color w:val="272727" w:themeColor="text1" w:themeTint="D8"/>
      <w:sz w:val="21"/>
      <w:szCs w:val="21"/>
    </w:rPr>
  </w:style>
  <w:style w:type="paragraph" w:styleId="TOC3">
    <w:name w:val="toc 3"/>
    <w:basedOn w:val="Normal"/>
    <w:next w:val="Normal"/>
    <w:autoRedefine/>
    <w:uiPriority w:val="39"/>
    <w:unhideWhenUsed/>
    <w:rsid w:val="00FD2381"/>
    <w:pPr>
      <w:spacing w:after="100"/>
      <w:ind w:left="480"/>
    </w:pPr>
  </w:style>
  <w:style w:type="table" w:styleId="TableGrid">
    <w:name w:val="Table Grid"/>
    <w:basedOn w:val="TableNormal"/>
    <w:uiPriority w:val="39"/>
    <w:rsid w:val="00C12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aliases w:val="FSA Main Title"/>
    <w:basedOn w:val="Normal"/>
    <w:next w:val="Normal"/>
    <w:link w:val="TitleChar"/>
    <w:uiPriority w:val="10"/>
    <w:qFormat/>
    <w:rsid w:val="00345644"/>
    <w:pPr>
      <w:contextualSpacing/>
      <w:jc w:val="center"/>
    </w:pPr>
    <w:rPr>
      <w:rFonts w:eastAsiaTheme="majorEastAsia" w:cstheme="majorBidi"/>
      <w:b/>
      <w:color w:val="775431"/>
      <w:spacing w:val="-10"/>
      <w:kern w:val="28"/>
      <w:sz w:val="32"/>
      <w:szCs w:val="56"/>
    </w:rPr>
  </w:style>
  <w:style w:type="character" w:customStyle="1" w:styleId="TitleChar">
    <w:name w:val="Title Char"/>
    <w:aliases w:val="FSA Main Title Char"/>
    <w:basedOn w:val="DefaultParagraphFont"/>
    <w:link w:val="Title"/>
    <w:uiPriority w:val="10"/>
    <w:rsid w:val="00345644"/>
    <w:rPr>
      <w:rFonts w:asciiTheme="minorHAnsi" w:eastAsiaTheme="majorEastAsia" w:hAnsiTheme="minorHAnsi" w:cstheme="majorBidi"/>
      <w:b/>
      <w:color w:val="775431"/>
      <w:spacing w:val="-10"/>
      <w:kern w:val="28"/>
      <w:sz w:val="32"/>
      <w:szCs w:val="56"/>
    </w:rPr>
  </w:style>
  <w:style w:type="character" w:styleId="CommentReference">
    <w:name w:val="annotation reference"/>
    <w:basedOn w:val="DefaultParagraphFont"/>
    <w:uiPriority w:val="99"/>
    <w:semiHidden/>
    <w:unhideWhenUsed/>
    <w:rsid w:val="00746BB4"/>
    <w:rPr>
      <w:sz w:val="16"/>
      <w:szCs w:val="16"/>
    </w:rPr>
  </w:style>
  <w:style w:type="paragraph" w:styleId="CommentText">
    <w:name w:val="annotation text"/>
    <w:basedOn w:val="Normal"/>
    <w:link w:val="CommentTextChar"/>
    <w:uiPriority w:val="99"/>
    <w:unhideWhenUsed/>
    <w:rsid w:val="00746BB4"/>
    <w:rPr>
      <w:sz w:val="20"/>
      <w:szCs w:val="20"/>
    </w:rPr>
  </w:style>
  <w:style w:type="character" w:customStyle="1" w:styleId="CommentTextChar">
    <w:name w:val="Comment Text Char"/>
    <w:basedOn w:val="DefaultParagraphFont"/>
    <w:link w:val="CommentText"/>
    <w:uiPriority w:val="99"/>
    <w:rsid w:val="00746BB4"/>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746BB4"/>
    <w:rPr>
      <w:b/>
      <w:bCs/>
    </w:rPr>
  </w:style>
  <w:style w:type="character" w:customStyle="1" w:styleId="CommentSubjectChar">
    <w:name w:val="Comment Subject Char"/>
    <w:basedOn w:val="CommentTextChar"/>
    <w:link w:val="CommentSubject"/>
    <w:uiPriority w:val="99"/>
    <w:semiHidden/>
    <w:rsid w:val="00746BB4"/>
    <w:rPr>
      <w:rFonts w:asciiTheme="minorHAnsi" w:hAnsiTheme="minorHAnsi"/>
      <w:b/>
      <w:bCs/>
      <w:sz w:val="20"/>
      <w:szCs w:val="20"/>
    </w:rPr>
  </w:style>
  <w:style w:type="paragraph" w:styleId="FootnoteText">
    <w:name w:val="footnote text"/>
    <w:basedOn w:val="Normal"/>
    <w:link w:val="FootnoteTextChar"/>
    <w:uiPriority w:val="99"/>
    <w:semiHidden/>
    <w:unhideWhenUsed/>
    <w:rsid w:val="00BE0753"/>
    <w:rPr>
      <w:sz w:val="20"/>
      <w:szCs w:val="20"/>
    </w:rPr>
  </w:style>
  <w:style w:type="character" w:customStyle="1" w:styleId="FootnoteTextChar">
    <w:name w:val="Footnote Text Char"/>
    <w:basedOn w:val="DefaultParagraphFont"/>
    <w:link w:val="FootnoteText"/>
    <w:uiPriority w:val="99"/>
    <w:semiHidden/>
    <w:rsid w:val="00BE0753"/>
    <w:rPr>
      <w:rFonts w:asciiTheme="minorHAnsi" w:hAnsiTheme="minorHAnsi"/>
      <w:sz w:val="20"/>
      <w:szCs w:val="20"/>
    </w:rPr>
  </w:style>
  <w:style w:type="character" w:styleId="FootnoteReference">
    <w:name w:val="footnote reference"/>
    <w:basedOn w:val="DefaultParagraphFont"/>
    <w:uiPriority w:val="99"/>
    <w:semiHidden/>
    <w:unhideWhenUsed/>
    <w:rsid w:val="00BE0753"/>
    <w:rPr>
      <w:vertAlign w:val="superscript"/>
    </w:rPr>
  </w:style>
  <w:style w:type="character" w:styleId="FollowedHyperlink">
    <w:name w:val="FollowedHyperlink"/>
    <w:basedOn w:val="DefaultParagraphFont"/>
    <w:uiPriority w:val="99"/>
    <w:semiHidden/>
    <w:unhideWhenUsed/>
    <w:rsid w:val="00BD3D3D"/>
    <w:rPr>
      <w:color w:val="954F72" w:themeColor="followedHyperlink"/>
      <w:u w:val="single"/>
    </w:rPr>
  </w:style>
  <w:style w:type="paragraph" w:styleId="Revision">
    <w:name w:val="Revision"/>
    <w:hidden/>
    <w:uiPriority w:val="99"/>
    <w:semiHidden/>
    <w:rsid w:val="00432402"/>
    <w:rPr>
      <w:rFonts w:asciiTheme="minorHAnsi" w:hAnsiTheme="minorHAnsi"/>
      <w:szCs w:val="22"/>
    </w:rPr>
  </w:style>
  <w:style w:type="numbering" w:customStyle="1" w:styleId="Style1">
    <w:name w:val="Style1"/>
    <w:uiPriority w:val="99"/>
    <w:rsid w:val="00E35EB4"/>
    <w:pPr>
      <w:numPr>
        <w:numId w:val="6"/>
      </w:numPr>
    </w:pPr>
  </w:style>
  <w:style w:type="character" w:customStyle="1" w:styleId="cf01">
    <w:name w:val="cf01"/>
    <w:basedOn w:val="DefaultParagraphFont"/>
    <w:rsid w:val="000F7991"/>
    <w:rPr>
      <w:rFonts w:ascii="Segoe UI" w:hAnsi="Segoe UI" w:cs="Segoe UI" w:hint="default"/>
      <w:sz w:val="18"/>
      <w:szCs w:val="18"/>
    </w:rPr>
  </w:style>
  <w:style w:type="character" w:styleId="UnresolvedMention">
    <w:name w:val="Unresolved Mention"/>
    <w:basedOn w:val="DefaultParagraphFont"/>
    <w:uiPriority w:val="99"/>
    <w:semiHidden/>
    <w:unhideWhenUsed/>
    <w:rsid w:val="00A97A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9259230">
      <w:bodyDiv w:val="1"/>
      <w:marLeft w:val="0"/>
      <w:marRight w:val="0"/>
      <w:marTop w:val="0"/>
      <w:marBottom w:val="0"/>
      <w:divBdr>
        <w:top w:val="none" w:sz="0" w:space="0" w:color="auto"/>
        <w:left w:val="none" w:sz="0" w:space="0" w:color="auto"/>
        <w:bottom w:val="none" w:sz="0" w:space="0" w:color="auto"/>
        <w:right w:val="none" w:sz="0" w:space="0" w:color="auto"/>
      </w:divBdr>
    </w:div>
    <w:div w:id="1984919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bis.org/basel_framework/standard/LCR.htm" TargetMode="External"/><Relationship Id="rId18" Type="http://schemas.openxmlformats.org/officeDocument/2006/relationships/hyperlink" Target="https://www.iomfsa.im/media/1567/quarterlyprudentialreturns.pdf"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mailto:returns@iomfsa.im" TargetMode="External"/><Relationship Id="rId17" Type="http://schemas.openxmlformats.org/officeDocument/2006/relationships/hyperlink" Target="https://www.iomfsa.im/media/1567/quarterlyprudentialreturns.pd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bis.org/publ/bcbs144.htm" TargetMode="External"/><Relationship Id="rId20" Type="http://schemas.openxmlformats.org/officeDocument/2006/relationships/hyperlink" Target="https://www.iomfsa.im/media/1567/quarterlyprudentialreturns.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iomfsa.im/media/1567/quarterlyprudentialreturns.pdf" TargetMode="External"/><Relationship Id="rId23"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https://www.iomfsa.im/media/1567/quarterlyprudentialreturns.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bis.org/basel_framework/standard/NSF.htm" TargetMode="Externa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bis.org/basel_framework/standard/NSF.htm?tldate=2025061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customXsn xmlns="http://schemas.microsoft.com/office/2006/metadata/customXsn">
  <xsnLocation/>
  <cached>True</cached>
  <openByDefault>True</openByDefault>
  <xsnScope/>
</customXsn>
</file>

<file path=customXml/item4.xml><?xml version="1.0" encoding="utf-8"?>
<p:properties xmlns:p="http://schemas.microsoft.com/office/2006/metadata/properties" xmlns:xsi="http://www.w3.org/2001/XMLSchema-instance" xmlns:pc="http://schemas.microsoft.com/office/infopath/2007/PartnerControls">
  <documentManagement>
    <Document_x0020_Description xmlns="94f020f8-5d01-461d-8056-85bd07e0ced7">&lt;div&gt;&lt;/div&gt;</Document_x0020_Description>
    <Document_x0020_Owner xmlns="94f020f8-5d01-461d-8056-85bd07e0ced7">
      <UserInfo>
        <DisplayName/>
        <AccountId xsi:nil="true"/>
        <AccountType/>
      </UserInfo>
    </Document_x0020_Owner>
    <Document_x0020_Sensitivity xmlns="94f020f8-5d01-461d-8056-85bd07e0ced7">Internal</Document_x0020_Sensitivity>
    <FSC_x0020_Project_x0020_Ref xmlns="94f020f8-5d01-461d-8056-85bd07e0ced7" xsi:nil="true"/>
    <FSC_x0020_Divisions xmlns="94f020f8-5d01-461d-8056-85bd07e0ced7" xsi:nil="true"/>
    <Date xmlns="94f020f8-5d01-461d-8056-85bd07e0ced7" xsi:nil="true"/>
    <Consultation_x0020_Category xmlns="94f020f8-5d01-461d-8056-85bd07e0ced7" xsi:nil="true"/>
  </documentManagement>
</p:properties>
</file>

<file path=customXml/item5.xml><?xml version="1.0" encoding="utf-8"?>
<ct:contentTypeSchema xmlns:ct="http://schemas.microsoft.com/office/2006/metadata/contentType" xmlns:ma="http://schemas.microsoft.com/office/2006/metadata/properties/metaAttributes" ct:_="" ma:_="" ma:contentTypeName="FSC Consultation General" ma:contentTypeID="0x0101000BE923759A44954D856837249B59CDE803F2180046A96D3CD205CC4AB2970F0C35A725DF" ma:contentTypeVersion="8" ma:contentTypeDescription="" ma:contentTypeScope="" ma:versionID="7b294812a11dcce01314fa918e6de0e0">
  <xsd:schema xmlns:xsd="http://www.w3.org/2001/XMLSchema" xmlns:xs="http://www.w3.org/2001/XMLSchema" xmlns:p="http://schemas.microsoft.com/office/2006/metadata/properties" xmlns:ns2="94f020f8-5d01-461d-8056-85bd07e0ced7" targetNamespace="http://schemas.microsoft.com/office/2006/metadata/properties" ma:root="true" ma:fieldsID="5ee908963182945756c2ffd1e91b940d" ns2:_="">
    <xsd:import namespace="94f020f8-5d01-461d-8056-85bd07e0ced7"/>
    <xsd:element name="properties">
      <xsd:complexType>
        <xsd:sequence>
          <xsd:element name="documentManagement">
            <xsd:complexType>
              <xsd:all>
                <xsd:element ref="ns2:Document_x0020_Description" minOccurs="0"/>
                <xsd:element ref="ns2:Document_x0020_Owner" minOccurs="0"/>
                <xsd:element ref="ns2:FSC_x0020_Divisions" minOccurs="0"/>
                <xsd:element ref="ns2:FSC_x0020_Project_x0020_Ref" minOccurs="0"/>
                <xsd:element ref="ns2:Consultation_x0020_Category" minOccurs="0"/>
                <xsd:element ref="ns2:Document_x0020_Sensitivity"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f020f8-5d01-461d-8056-85bd07e0ced7" elementFormDefault="qualified">
    <xsd:import namespace="http://schemas.microsoft.com/office/2006/documentManagement/types"/>
    <xsd:import namespace="http://schemas.microsoft.com/office/infopath/2007/PartnerControls"/>
    <xsd:element name="Document_x0020_Description" ma:index="2" nillable="true" ma:displayName="Document Description" ma:internalName="Document_x0020_Description" ma:readOnly="false">
      <xsd:simpleType>
        <xsd:restriction base="dms:Note">
          <xsd:maxLength value="255"/>
        </xsd:restriction>
      </xsd:simpleType>
    </xsd:element>
    <xsd:element name="Document_x0020_Owner" ma:index="3" nillable="true" ma:displayName="Document Owner" ma:list="UserInfo" ma:SharePointGroup="0" ma:internalName="Docum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SC_x0020_Divisions" ma:index="4" nillable="true" ma:displayName="IOMFSA Divisions" ma:format="Dropdown" ma:internalName="FSC_x0020_Divisions" ma:readOnly="false">
      <xsd:simpleType>
        <xsd:restriction base="dms:Choice">
          <xsd:enumeration value="AML/CFT"/>
          <xsd:enumeration value="Archive"/>
          <xsd:enumeration value="Authorisations"/>
          <xsd:enumeration value="Banking"/>
          <xsd:enumeration value="Banking, Funds and Investment Services"/>
          <xsd:enumeration value="Business Change"/>
          <xsd:enumeration value="CEO"/>
          <xsd:enumeration value="Emerging Risk &amp; International"/>
          <xsd:enumeration value="Enforcement"/>
          <xsd:enumeration value="Fiduciaries"/>
          <xsd:enumeration value="Finance"/>
          <xsd:enumeration value="Funds and Investment Services"/>
          <xsd:enumeration value="General Counsel &amp; Head of Corporate Governance"/>
          <xsd:enumeration value="HMI Supervision"/>
          <xsd:enumeration value="HR"/>
          <xsd:enumeration value="Insurance &amp; Pensions"/>
          <xsd:enumeration value="Insurance, Pensions and Fiduciary Services"/>
          <xsd:enumeration value="ICP Project Review"/>
          <xsd:enumeration value="IT"/>
          <xsd:enumeration value="Legal Counsel"/>
          <xsd:enumeration value="Policy &amp; Risk"/>
          <xsd:enumeration value="Life Assurance"/>
          <xsd:enumeration value="Non Life Assurance"/>
          <xsd:enumeration value="Operations"/>
          <xsd:enumeration value="Pensions"/>
          <xsd:enumeration value="Policy &amp; Authorisations"/>
          <xsd:enumeration value="Project Teams"/>
          <xsd:enumeration value="Portfolio Supervision"/>
          <xsd:enumeration value="Prudential Supervision"/>
          <xsd:enumeration value="Resolution and Compensation"/>
          <xsd:enumeration value="Supervision"/>
          <xsd:enumeration value="Supervisory Practices"/>
        </xsd:restriction>
      </xsd:simpleType>
    </xsd:element>
    <xsd:element name="FSC_x0020_Project_x0020_Ref" ma:index="5" nillable="true" ma:displayName="IOMFSA Project Ref" ma:format="Dropdown" ma:internalName="FSC_x0020_Project_x0020_Ref" ma:readOnly="false">
      <xsd:simpleType>
        <xsd:restriction base="dms:Choice">
          <xsd:enumeration value="PRJ004"/>
          <xsd:enumeration value="PRJ008"/>
          <xsd:enumeration value="PRJ010"/>
          <xsd:enumeration value="PRJ012"/>
          <xsd:enumeration value="PRJ014"/>
          <xsd:enumeration value="PRJ017"/>
          <xsd:enumeration value="PRJ018"/>
          <xsd:enumeration value="PRJ019"/>
          <xsd:enumeration value="PRJ020"/>
          <xsd:enumeration value="PRJ021"/>
          <xsd:enumeration value="PRJ023"/>
          <xsd:enumeration value="PRJ024"/>
          <xsd:enumeration value="PRJ025"/>
          <xsd:enumeration value="PRJ026"/>
          <xsd:enumeration value="PRJ027"/>
          <xsd:enumeration value="PRJ030"/>
          <xsd:enumeration value="PRJ031"/>
          <xsd:enumeration value="PRJ032"/>
          <xsd:enumeration value="PRJ033"/>
          <xsd:enumeration value="PRJ034"/>
          <xsd:enumeration value="PRJ035"/>
          <xsd:enumeration value="PRJ036"/>
          <xsd:enumeration value="PRJ037"/>
          <xsd:enumeration value="PRJ038"/>
          <xsd:enumeration value="PRJ039"/>
          <xsd:enumeration value="PRJ041"/>
          <xsd:enumeration value="PRJ043"/>
          <xsd:enumeration value="PRJ044"/>
          <xsd:enumeration value="PRJ045"/>
          <xsd:enumeration value="PRJ046"/>
          <xsd:enumeration value="PRJ047"/>
          <xsd:enumeration value="PRJ049"/>
          <xsd:enumeration value="PRJ050"/>
          <xsd:enumeration value="PRJ051"/>
          <xsd:enumeration value="PRJ052"/>
          <xsd:enumeration value="PRJ053"/>
          <xsd:enumeration value="PRJ054"/>
          <xsd:enumeration value="PRJ055"/>
          <xsd:enumeration value="PRJ056"/>
          <xsd:enumeration value="PRJ057"/>
          <xsd:enumeration value="PRJ058"/>
          <xsd:enumeration value="PRJ059"/>
          <xsd:enumeration value="PRJ060"/>
          <xsd:enumeration value="PRJ061"/>
          <xsd:enumeration value="PRJ062"/>
          <xsd:enumeration value="PRJ063"/>
          <xsd:enumeration value="PRJ064"/>
          <xsd:enumeration value="PRJ065"/>
          <xsd:enumeration value="PRJ066"/>
          <xsd:enumeration value="PRJ067"/>
          <xsd:enumeration value="PRJ068"/>
          <xsd:enumeration value="PRJ069"/>
          <xsd:enumeration value="PRJ070"/>
          <xsd:enumeration value="PRJ071"/>
          <xsd:enumeration value="PRJ072"/>
          <xsd:enumeration value="PRJ073"/>
          <xsd:enumeration value="PRJ074"/>
          <xsd:enumeration value="PRJ075"/>
          <xsd:enumeration value="PRJ076"/>
          <xsd:enumeration value="PRJ077"/>
          <xsd:enumeration value="PRJ078"/>
          <xsd:enumeration value="PRJ079"/>
          <xsd:enumeration value="PRJ080"/>
          <xsd:enumeration value="PRJ081"/>
          <xsd:enumeration value="PRJ082"/>
          <xsd:enumeration value="PRJ083"/>
          <xsd:enumeration value="PRJ084"/>
          <xsd:enumeration value="PRJ085"/>
          <xsd:enumeration value="PRJ086"/>
          <xsd:enumeration value="PRJ087"/>
          <xsd:enumeration value="PRJ088"/>
          <xsd:enumeration value="PRJ089"/>
          <xsd:enumeration value="PRJ090"/>
          <xsd:enumeration value="PRJ091"/>
          <xsd:enumeration value="PRJ092"/>
          <xsd:enumeration value="PRJ093"/>
          <xsd:enumeration value="PRJ094"/>
          <xsd:enumeration value="PRJ095"/>
          <xsd:enumeration value="PRJ096"/>
          <xsd:enumeration value="PRJ097"/>
          <xsd:enumeration value="PRJ098"/>
          <xsd:enumeration value="PRJ099"/>
          <xsd:enumeration value="PRJ100"/>
          <xsd:enumeration value="PRJ101"/>
          <xsd:enumeration value="PRJ102"/>
          <xsd:enumeration value="PRJ103"/>
          <xsd:enumeration value="PRJ104"/>
          <xsd:enumeration value="PRJ105"/>
          <xsd:enumeration value="PRJ106"/>
          <xsd:enumeration value="PRJ107"/>
          <xsd:enumeration value="PRJ108"/>
          <xsd:enumeration value="PRJ109"/>
          <xsd:enumeration value="PRJ110"/>
          <xsd:enumeration value="PRJ111"/>
          <xsd:enumeration value="PRJ112"/>
          <xsd:enumeration value="PRJ113"/>
          <xsd:enumeration value="PRJ114"/>
          <xsd:enumeration value="PRJ115"/>
          <xsd:enumeration value="PRJ116"/>
          <xsd:enumeration value="PRJ117"/>
          <xsd:enumeration value="PRJ118"/>
          <xsd:enumeration value="PRJ119"/>
          <xsd:enumeration value="PRJ120"/>
          <xsd:enumeration value="PRJ121"/>
          <xsd:enumeration value="PRJ122"/>
        </xsd:restriction>
      </xsd:simpleType>
    </xsd:element>
    <xsd:element name="Consultation_x0020_Category" ma:index="7" nillable="true" ma:displayName="Consultation Category" ma:format="Dropdown" ma:internalName="Consultation_x0020_Category" ma:readOnly="false">
      <xsd:simpleType>
        <xsd:restriction base="dms:Choice">
          <xsd:enumeration value="Consultation document from body"/>
          <xsd:enumeration value="FSC response"/>
        </xsd:restriction>
      </xsd:simpleType>
    </xsd:element>
    <xsd:element name="Document_x0020_Sensitivity" ma:index="9" nillable="true" ma:displayName="Document Sensitivity" ma:default="Internal" ma:description="Government Information Security Best Practise Settings" ma:format="Dropdown" ma:internalName="Document_x0020_Sensitivity" ma:readOnly="false">
      <xsd:simpleType>
        <xsd:restriction base="dms:Choice">
          <xsd:enumeration value="Open"/>
          <xsd:enumeration value="Internal"/>
          <xsd:enumeration value="Sensitive"/>
          <xsd:enumeration value="Restricted"/>
          <xsd:enumeration value="Confidential"/>
        </xsd:restriction>
      </xsd:simpleType>
    </xsd:element>
    <xsd:element name="Date" ma:index="10" nillable="true" ma:displayName="Date" ma:format="DateOnly" ma:internalName="Date_adccdf5a_x002d_5c4f_x002d_4c3b_x002d_8e18_x002d_398d789d1ddd" ma:readOnly="fals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12" ma:displayName="Content Type"/>
        <xsd:element ref="dc:title" minOccurs="0" maxOccurs="1" ma:index="1" ma:displayName="Title"/>
        <xsd:element ref="dc:subject" minOccurs="0" maxOccurs="1" ma:index="6"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A9D89E-6E9D-4CF3-9DA4-E91AC04B05CB}">
  <ds:schemaRefs>
    <ds:schemaRef ds:uri="http://schemas.microsoft.com/sharepoint/v3/contenttype/forms"/>
  </ds:schemaRefs>
</ds:datastoreItem>
</file>

<file path=customXml/itemProps2.xml><?xml version="1.0" encoding="utf-8"?>
<ds:datastoreItem xmlns:ds="http://schemas.openxmlformats.org/officeDocument/2006/customXml" ds:itemID="{079EDCF1-9F26-4E03-9CE4-9DC4E7E98CEB}">
  <ds:schemaRefs>
    <ds:schemaRef ds:uri="http://schemas.openxmlformats.org/officeDocument/2006/bibliography"/>
  </ds:schemaRefs>
</ds:datastoreItem>
</file>

<file path=customXml/itemProps3.xml><?xml version="1.0" encoding="utf-8"?>
<ds:datastoreItem xmlns:ds="http://schemas.openxmlformats.org/officeDocument/2006/customXml" ds:itemID="{AB1EBAEE-AB32-4508-815A-2466C4342F8C}">
  <ds:schemaRefs>
    <ds:schemaRef ds:uri="http://schemas.microsoft.com/office/2006/metadata/customXsn"/>
  </ds:schemaRefs>
</ds:datastoreItem>
</file>

<file path=customXml/itemProps4.xml><?xml version="1.0" encoding="utf-8"?>
<ds:datastoreItem xmlns:ds="http://schemas.openxmlformats.org/officeDocument/2006/customXml" ds:itemID="{D56A0001-8C05-4B9B-9B43-AF733C895ADE}">
  <ds:schemaRefs>
    <ds:schemaRef ds:uri="http://schemas.microsoft.com/office/2006/metadata/properties"/>
    <ds:schemaRef ds:uri="http://schemas.microsoft.com/office/infopath/2007/PartnerControls"/>
    <ds:schemaRef ds:uri="94f020f8-5d01-461d-8056-85bd07e0ced7"/>
  </ds:schemaRefs>
</ds:datastoreItem>
</file>

<file path=customXml/itemProps5.xml><?xml version="1.0" encoding="utf-8"?>
<ds:datastoreItem xmlns:ds="http://schemas.openxmlformats.org/officeDocument/2006/customXml" ds:itemID="{9C828AE8-6079-4981-B4CF-6FD5978B90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f020f8-5d01-461d-8056-85bd07e0ce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24</Pages>
  <Words>7643</Words>
  <Characters>43571</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FSA Standard Document</vt:lpstr>
    </vt:vector>
  </TitlesOfParts>
  <Company>Isle of Man Government</Company>
  <LinksUpToDate>false</LinksUpToDate>
  <CharactersWithSpaces>51112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FSA Standard Document</dc:title>
  <dc:subject/>
  <dc:creator>IOMG User</dc:creator>
  <cp:keywords/>
  <dc:description/>
  <cp:lastModifiedBy>Ward, Bradley</cp:lastModifiedBy>
  <cp:revision>5</cp:revision>
  <cp:lastPrinted>2023-07-18T08:35:00Z</cp:lastPrinted>
  <dcterms:created xsi:type="dcterms:W3CDTF">2025-07-21T12:21:00Z</dcterms:created>
  <dcterms:modified xsi:type="dcterms:W3CDTF">2025-07-22T11:10:00Z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0x0101000BE923759A44954D856837249B59CDE803F2180046A96D3CD205CC4AB2970F0C35A725DF</vt:lpwstr>
  </property>
  <property fmtid="{D5CDD505-2E9C-101B-9397-08002B2CF9AE}" pid="3" name="Document Sensitivity">
    <vt:lpwstr>Internal</vt:lpwstr>
  </property>
  <property fmtid="{D5CDD505-2E9C-101B-9397-08002B2CF9AE}" pid="4" name="Course">
    <vt:lpwstr/>
  </property>
</Properties>
</file>