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3EBC9" w14:textId="7BC30EAC" w:rsidR="00F63EB4" w:rsidRDefault="007C5CD3" w:rsidP="00F63EB4">
      <w:pPr>
        <w:pStyle w:val="FSACoverSheetMainTitle"/>
        <w:rPr>
          <w:color w:val="auto"/>
        </w:rPr>
      </w:pPr>
      <w:r>
        <w:rPr>
          <w:noProof/>
          <w:lang w:eastAsia="en-GB"/>
        </w:rPr>
        <w:drawing>
          <wp:inline distT="0" distB="0" distL="0" distR="0" wp14:anchorId="59486554" wp14:editId="3B886CCF">
            <wp:extent cx="5724525" cy="1076325"/>
            <wp:effectExtent l="0" t="0" r="9525" b="9525"/>
            <wp:docPr id="19130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14:paraId="22996AAB" w14:textId="77777777" w:rsidR="00F63EB4" w:rsidRDefault="00F63EB4" w:rsidP="00F63EB4">
      <w:pPr>
        <w:pStyle w:val="FSACoverSheetMainTitle"/>
        <w:rPr>
          <w:color w:val="auto"/>
        </w:rPr>
      </w:pPr>
    </w:p>
    <w:p w14:paraId="729DE421" w14:textId="77777777" w:rsidR="00F63EB4" w:rsidRDefault="00F63EB4" w:rsidP="00F63EB4">
      <w:pPr>
        <w:pStyle w:val="FSACoverSheetMainTitle"/>
        <w:rPr>
          <w:color w:val="auto"/>
        </w:rPr>
      </w:pPr>
    </w:p>
    <w:p w14:paraId="2E45C72B" w14:textId="77777777" w:rsidR="00F63EB4" w:rsidRDefault="00F63EB4" w:rsidP="006C038D">
      <w:pPr>
        <w:pStyle w:val="FSACoverSheetMainTitle"/>
        <w:rPr>
          <w:color w:val="auto"/>
        </w:rPr>
      </w:pPr>
    </w:p>
    <w:p w14:paraId="1B11B6ED" w14:textId="77777777" w:rsidR="00F63EB4" w:rsidRDefault="00F63EB4" w:rsidP="00926652">
      <w:pPr>
        <w:pStyle w:val="FSACoverSheetMainTitle"/>
        <w:jc w:val="left"/>
        <w:rPr>
          <w:color w:val="auto"/>
        </w:rPr>
      </w:pPr>
    </w:p>
    <w:p w14:paraId="4AC2073F" w14:textId="73A93445" w:rsidR="00D32E67" w:rsidRDefault="0043261A" w:rsidP="00F63EB4">
      <w:pPr>
        <w:pStyle w:val="FSACoverSheetMainTitle"/>
      </w:pPr>
      <w:r>
        <w:t>Discussion</w:t>
      </w:r>
      <w:r w:rsidR="003C00FA">
        <w:t xml:space="preserve"> Paper</w:t>
      </w:r>
    </w:p>
    <w:p w14:paraId="7B3DE569" w14:textId="77777777" w:rsidR="00926652" w:rsidRPr="008D668D" w:rsidRDefault="00926652" w:rsidP="00F63EB4">
      <w:pPr>
        <w:pStyle w:val="FSACoverSheetMainTitle"/>
      </w:pPr>
    </w:p>
    <w:p w14:paraId="27B3F890" w14:textId="77777777" w:rsidR="00FF7C40" w:rsidRDefault="00FF7C40" w:rsidP="00FF7C40">
      <w:pPr>
        <w:pStyle w:val="FSACoverSheetSub-title"/>
        <w:spacing w:after="0" w:line="300" w:lineRule="auto"/>
      </w:pPr>
      <w:r>
        <w:t>Basel III</w:t>
      </w:r>
    </w:p>
    <w:p w14:paraId="109CCC37" w14:textId="3E539626" w:rsidR="00D32E67" w:rsidRDefault="0062682F" w:rsidP="00FF7C40">
      <w:pPr>
        <w:pStyle w:val="FSACoverSheetSub-title"/>
        <w:spacing w:after="0" w:line="300" w:lineRule="auto"/>
      </w:pPr>
      <w:r>
        <w:t>Updating the Liquidity Framework for Banks</w:t>
      </w:r>
    </w:p>
    <w:p w14:paraId="7054A2FE" w14:textId="359DA212" w:rsidR="0062682F" w:rsidRPr="0062682F" w:rsidRDefault="0062682F" w:rsidP="00E447C1">
      <w:pPr>
        <w:pStyle w:val="FSACoverSheetSub-title"/>
        <w:spacing w:after="0" w:line="300" w:lineRule="auto"/>
        <w:rPr>
          <w:i/>
          <w:iCs/>
        </w:rPr>
      </w:pPr>
      <w:r w:rsidRPr="0062682F">
        <w:rPr>
          <w:i/>
          <w:iCs/>
        </w:rPr>
        <w:t xml:space="preserve">Implementation of a </w:t>
      </w:r>
      <w:r w:rsidR="00322CC3">
        <w:rPr>
          <w:i/>
          <w:iCs/>
        </w:rPr>
        <w:t>Net Stable Funding</w:t>
      </w:r>
      <w:r w:rsidRPr="0062682F">
        <w:rPr>
          <w:i/>
          <w:iCs/>
        </w:rPr>
        <w:t xml:space="preserve"> Ratio</w:t>
      </w:r>
    </w:p>
    <w:p w14:paraId="649001F5" w14:textId="77777777" w:rsidR="001B3B4A" w:rsidRDefault="001B3B4A" w:rsidP="00E447C1">
      <w:pPr>
        <w:pStyle w:val="FSACoverSheetdocumentdate"/>
        <w:spacing w:after="0" w:line="300" w:lineRule="auto"/>
        <w:rPr>
          <w:highlight w:val="yellow"/>
        </w:rPr>
      </w:pPr>
    </w:p>
    <w:p w14:paraId="2DDD52F8" w14:textId="16B5D5A9" w:rsidR="003C00FA" w:rsidRDefault="00FE3B5D" w:rsidP="00E447C1">
      <w:pPr>
        <w:pStyle w:val="FSACoverSheetdocumentdate"/>
        <w:spacing w:after="0" w:line="300" w:lineRule="auto"/>
      </w:pPr>
      <w:r w:rsidRPr="00DE7790">
        <w:t>DP</w:t>
      </w:r>
      <w:r w:rsidR="00DE7790" w:rsidRPr="00DE7790">
        <w:t>25</w:t>
      </w:r>
      <w:r w:rsidRPr="00DE7790">
        <w:t>-</w:t>
      </w:r>
      <w:r w:rsidR="00DE7790" w:rsidRPr="00DE7790">
        <w:t>0</w:t>
      </w:r>
      <w:r w:rsidR="00322CC3">
        <w:t>2</w:t>
      </w:r>
    </w:p>
    <w:p w14:paraId="03A7ED79" w14:textId="77777777" w:rsidR="001B3B4A" w:rsidRDefault="001B3B4A" w:rsidP="00E447C1">
      <w:pPr>
        <w:pStyle w:val="FSACoverSheetdocumentdate"/>
        <w:spacing w:after="0" w:line="300" w:lineRule="auto"/>
      </w:pPr>
    </w:p>
    <w:p w14:paraId="6A5302AA" w14:textId="593E5594" w:rsidR="00D32E67" w:rsidRDefault="003C00FA" w:rsidP="00E447C1">
      <w:pPr>
        <w:pStyle w:val="FSACoverSheetdocumentdate"/>
        <w:spacing w:after="0" w:line="300" w:lineRule="auto"/>
      </w:pPr>
      <w:r>
        <w:t xml:space="preserve">Issue Date: </w:t>
      </w:r>
      <w:r w:rsidR="00E446D6">
        <w:t>22 July</w:t>
      </w:r>
      <w:r w:rsidR="00FD7ACB">
        <w:t xml:space="preserve"> 2025</w:t>
      </w:r>
    </w:p>
    <w:p w14:paraId="07E60AA6" w14:textId="6B1781A0" w:rsidR="003C00FA" w:rsidRDefault="003C00FA" w:rsidP="00E447C1">
      <w:pPr>
        <w:pStyle w:val="FSACoverSheetdocumentdate"/>
        <w:spacing w:after="0" w:line="300" w:lineRule="auto"/>
      </w:pPr>
      <w:r>
        <w:t xml:space="preserve">Closing Date: </w:t>
      </w:r>
      <w:r w:rsidR="00E446D6">
        <w:t xml:space="preserve">29 August </w:t>
      </w:r>
      <w:r w:rsidR="00002A77" w:rsidRPr="00002A77">
        <w:t>2025</w:t>
      </w:r>
      <w:r w:rsidRPr="00002A77">
        <w:t xml:space="preserve"> </w:t>
      </w:r>
    </w:p>
    <w:p w14:paraId="6F81FCB0" w14:textId="5A7BEE7E" w:rsidR="00863EDD" w:rsidRPr="00B02B09" w:rsidRDefault="00670785" w:rsidP="006C038D">
      <w:pPr>
        <w:pStyle w:val="FSADocumentText"/>
      </w:pPr>
      <w:r>
        <w:br w:type="page"/>
      </w:r>
    </w:p>
    <w:sdt>
      <w:sdtPr>
        <w:rPr>
          <w:rFonts w:asciiTheme="minorHAnsi" w:eastAsiaTheme="minorHAnsi" w:hAnsiTheme="minorHAnsi" w:cstheme="minorBidi"/>
          <w:color w:val="auto"/>
          <w:sz w:val="24"/>
          <w:szCs w:val="22"/>
          <w:lang w:val="en-GB"/>
        </w:rPr>
        <w:id w:val="536467402"/>
        <w:docPartObj>
          <w:docPartGallery w:val="Table of Contents"/>
          <w:docPartUnique/>
        </w:docPartObj>
      </w:sdtPr>
      <w:sdtEndPr>
        <w:rPr>
          <w:b/>
          <w:bCs/>
          <w:noProof/>
        </w:rPr>
      </w:sdtEndPr>
      <w:sdtContent>
        <w:p w14:paraId="609C63C5" w14:textId="5352C979" w:rsidR="0033123C" w:rsidRPr="00443B27" w:rsidRDefault="0033123C" w:rsidP="00443B27">
          <w:pPr>
            <w:pStyle w:val="TOCHeading"/>
            <w:spacing w:line="240" w:lineRule="auto"/>
            <w:rPr>
              <w:rFonts w:asciiTheme="minorHAnsi" w:hAnsiTheme="minorHAnsi"/>
              <w:b/>
              <w:color w:val="005782"/>
            </w:rPr>
          </w:pPr>
          <w:r w:rsidRPr="006C038D">
            <w:rPr>
              <w:rFonts w:asciiTheme="minorHAnsi" w:hAnsiTheme="minorHAnsi"/>
              <w:b/>
              <w:color w:val="005782"/>
            </w:rPr>
            <w:t>Contents</w:t>
          </w:r>
        </w:p>
        <w:p w14:paraId="7A12EA91" w14:textId="483B7160" w:rsidR="00E12D45" w:rsidRDefault="0033123C">
          <w:pPr>
            <w:pStyle w:val="TOC1"/>
            <w:tabs>
              <w:tab w:val="right" w:leader="dot" w:pos="9016"/>
            </w:tabs>
            <w:rPr>
              <w:rFonts w:eastAsiaTheme="minorEastAsia"/>
              <w:noProof/>
              <w:kern w:val="2"/>
              <w:szCs w:val="24"/>
              <w:lang w:eastAsia="en-GB"/>
              <w14:ligatures w14:val="standardContextual"/>
            </w:rPr>
          </w:pPr>
          <w:r>
            <w:fldChar w:fldCharType="begin"/>
          </w:r>
          <w:r>
            <w:instrText xml:space="preserve"> TOC \o "1-3" \h \z \u </w:instrText>
          </w:r>
          <w:r>
            <w:fldChar w:fldCharType="separate"/>
          </w:r>
          <w:hyperlink w:anchor="_Toc201927329" w:history="1">
            <w:r w:rsidR="00E12D45" w:rsidRPr="00F164E7">
              <w:rPr>
                <w:rStyle w:val="Hyperlink"/>
                <w:noProof/>
                <w:lang w:eastAsia="en-GB"/>
              </w:rPr>
              <w:t>Glossary</w:t>
            </w:r>
            <w:r w:rsidR="00E12D45">
              <w:rPr>
                <w:noProof/>
                <w:webHidden/>
              </w:rPr>
              <w:tab/>
            </w:r>
            <w:r w:rsidR="00E12D45">
              <w:rPr>
                <w:noProof/>
                <w:webHidden/>
              </w:rPr>
              <w:fldChar w:fldCharType="begin"/>
            </w:r>
            <w:r w:rsidR="00E12D45">
              <w:rPr>
                <w:noProof/>
                <w:webHidden/>
              </w:rPr>
              <w:instrText xml:space="preserve"> PAGEREF _Toc201927329 \h </w:instrText>
            </w:r>
            <w:r w:rsidR="00E12D45">
              <w:rPr>
                <w:noProof/>
                <w:webHidden/>
              </w:rPr>
            </w:r>
            <w:r w:rsidR="00E12D45">
              <w:rPr>
                <w:noProof/>
                <w:webHidden/>
              </w:rPr>
              <w:fldChar w:fldCharType="separate"/>
            </w:r>
            <w:r w:rsidR="00A83B45">
              <w:rPr>
                <w:noProof/>
                <w:webHidden/>
              </w:rPr>
              <w:t>3</w:t>
            </w:r>
            <w:r w:rsidR="00E12D45">
              <w:rPr>
                <w:noProof/>
                <w:webHidden/>
              </w:rPr>
              <w:fldChar w:fldCharType="end"/>
            </w:r>
          </w:hyperlink>
        </w:p>
        <w:p w14:paraId="42BDB80C" w14:textId="29740B04"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30" w:history="1">
            <w:r w:rsidRPr="00F164E7">
              <w:rPr>
                <w:rStyle w:val="Hyperlink"/>
                <w:noProof/>
              </w:rPr>
              <w:t>1.</w:t>
            </w:r>
            <w:r>
              <w:rPr>
                <w:rFonts w:eastAsiaTheme="minorEastAsia"/>
                <w:noProof/>
                <w:kern w:val="2"/>
                <w:szCs w:val="24"/>
                <w:lang w:eastAsia="en-GB"/>
                <w14:ligatures w14:val="standardContextual"/>
              </w:rPr>
              <w:tab/>
            </w:r>
            <w:r w:rsidRPr="00F164E7">
              <w:rPr>
                <w:rStyle w:val="Hyperlink"/>
                <w:noProof/>
              </w:rPr>
              <w:t>Executive Summary</w:t>
            </w:r>
            <w:r>
              <w:rPr>
                <w:noProof/>
                <w:webHidden/>
              </w:rPr>
              <w:tab/>
            </w:r>
            <w:r>
              <w:rPr>
                <w:noProof/>
                <w:webHidden/>
              </w:rPr>
              <w:fldChar w:fldCharType="begin"/>
            </w:r>
            <w:r>
              <w:rPr>
                <w:noProof/>
                <w:webHidden/>
              </w:rPr>
              <w:instrText xml:space="preserve"> PAGEREF _Toc201927330 \h </w:instrText>
            </w:r>
            <w:r>
              <w:rPr>
                <w:noProof/>
                <w:webHidden/>
              </w:rPr>
            </w:r>
            <w:r>
              <w:rPr>
                <w:noProof/>
                <w:webHidden/>
              </w:rPr>
              <w:fldChar w:fldCharType="separate"/>
            </w:r>
            <w:r w:rsidR="00A83B45">
              <w:rPr>
                <w:noProof/>
                <w:webHidden/>
              </w:rPr>
              <w:t>4</w:t>
            </w:r>
            <w:r>
              <w:rPr>
                <w:noProof/>
                <w:webHidden/>
              </w:rPr>
              <w:fldChar w:fldCharType="end"/>
            </w:r>
          </w:hyperlink>
        </w:p>
        <w:p w14:paraId="034A6DDE" w14:textId="7DB49306"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1" w:history="1">
            <w:r w:rsidRPr="00F164E7">
              <w:rPr>
                <w:rStyle w:val="Hyperlink"/>
                <w:noProof/>
              </w:rPr>
              <w:t>1.1</w:t>
            </w:r>
            <w:r>
              <w:rPr>
                <w:rFonts w:eastAsiaTheme="minorEastAsia"/>
                <w:noProof/>
                <w:kern w:val="2"/>
                <w:szCs w:val="24"/>
                <w:lang w:eastAsia="en-GB"/>
                <w14:ligatures w14:val="standardContextual"/>
              </w:rPr>
              <w:tab/>
            </w:r>
            <w:r w:rsidRPr="00F164E7">
              <w:rPr>
                <w:rStyle w:val="Hyperlink"/>
                <w:noProof/>
              </w:rPr>
              <w:t>Overview</w:t>
            </w:r>
            <w:r>
              <w:rPr>
                <w:noProof/>
                <w:webHidden/>
              </w:rPr>
              <w:tab/>
            </w:r>
            <w:r>
              <w:rPr>
                <w:noProof/>
                <w:webHidden/>
              </w:rPr>
              <w:fldChar w:fldCharType="begin"/>
            </w:r>
            <w:r>
              <w:rPr>
                <w:noProof/>
                <w:webHidden/>
              </w:rPr>
              <w:instrText xml:space="preserve"> PAGEREF _Toc201927331 \h </w:instrText>
            </w:r>
            <w:r>
              <w:rPr>
                <w:noProof/>
                <w:webHidden/>
              </w:rPr>
            </w:r>
            <w:r>
              <w:rPr>
                <w:noProof/>
                <w:webHidden/>
              </w:rPr>
              <w:fldChar w:fldCharType="separate"/>
            </w:r>
            <w:r w:rsidR="00A83B45">
              <w:rPr>
                <w:noProof/>
                <w:webHidden/>
              </w:rPr>
              <w:t>4</w:t>
            </w:r>
            <w:r>
              <w:rPr>
                <w:noProof/>
                <w:webHidden/>
              </w:rPr>
              <w:fldChar w:fldCharType="end"/>
            </w:r>
          </w:hyperlink>
        </w:p>
        <w:p w14:paraId="59659864" w14:textId="2CFE1E7D"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2" w:history="1">
            <w:r w:rsidRPr="00F164E7">
              <w:rPr>
                <w:rStyle w:val="Hyperlink"/>
                <w:noProof/>
                <w:lang w:eastAsia="en-GB"/>
              </w:rPr>
              <w:t>1.2</w:t>
            </w:r>
            <w:r>
              <w:rPr>
                <w:rFonts w:eastAsiaTheme="minorEastAsia"/>
                <w:noProof/>
                <w:kern w:val="2"/>
                <w:szCs w:val="24"/>
                <w:lang w:eastAsia="en-GB"/>
                <w14:ligatures w14:val="standardContextual"/>
              </w:rPr>
              <w:tab/>
            </w:r>
            <w:r w:rsidRPr="00F164E7">
              <w:rPr>
                <w:rStyle w:val="Hyperlink"/>
                <w:noProof/>
                <w:lang w:eastAsia="en-GB"/>
              </w:rPr>
              <w:t>Purpose</w:t>
            </w:r>
            <w:r>
              <w:rPr>
                <w:noProof/>
                <w:webHidden/>
              </w:rPr>
              <w:tab/>
            </w:r>
            <w:r>
              <w:rPr>
                <w:noProof/>
                <w:webHidden/>
              </w:rPr>
              <w:fldChar w:fldCharType="begin"/>
            </w:r>
            <w:r>
              <w:rPr>
                <w:noProof/>
                <w:webHidden/>
              </w:rPr>
              <w:instrText xml:space="preserve"> PAGEREF _Toc201927332 \h </w:instrText>
            </w:r>
            <w:r>
              <w:rPr>
                <w:noProof/>
                <w:webHidden/>
              </w:rPr>
            </w:r>
            <w:r>
              <w:rPr>
                <w:noProof/>
                <w:webHidden/>
              </w:rPr>
              <w:fldChar w:fldCharType="separate"/>
            </w:r>
            <w:r w:rsidR="00A83B45">
              <w:rPr>
                <w:noProof/>
                <w:webHidden/>
              </w:rPr>
              <w:t>4</w:t>
            </w:r>
            <w:r>
              <w:rPr>
                <w:noProof/>
                <w:webHidden/>
              </w:rPr>
              <w:fldChar w:fldCharType="end"/>
            </w:r>
          </w:hyperlink>
        </w:p>
        <w:p w14:paraId="29941DC2" w14:textId="0BAFC84C"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3" w:history="1">
            <w:r w:rsidRPr="00F164E7">
              <w:rPr>
                <w:rStyle w:val="Hyperlink"/>
                <w:noProof/>
              </w:rPr>
              <w:t>1.3</w:t>
            </w:r>
            <w:r>
              <w:rPr>
                <w:rFonts w:eastAsiaTheme="minorEastAsia"/>
                <w:noProof/>
                <w:kern w:val="2"/>
                <w:szCs w:val="24"/>
                <w:lang w:eastAsia="en-GB"/>
                <w14:ligatures w14:val="standardContextual"/>
              </w:rPr>
              <w:tab/>
            </w:r>
            <w:r w:rsidRPr="00F164E7">
              <w:rPr>
                <w:rStyle w:val="Hyperlink"/>
                <w:noProof/>
              </w:rPr>
              <w:t>Interested persons</w:t>
            </w:r>
            <w:r>
              <w:rPr>
                <w:noProof/>
                <w:webHidden/>
              </w:rPr>
              <w:tab/>
            </w:r>
            <w:r>
              <w:rPr>
                <w:noProof/>
                <w:webHidden/>
              </w:rPr>
              <w:fldChar w:fldCharType="begin"/>
            </w:r>
            <w:r>
              <w:rPr>
                <w:noProof/>
                <w:webHidden/>
              </w:rPr>
              <w:instrText xml:space="preserve"> PAGEREF _Toc201927333 \h </w:instrText>
            </w:r>
            <w:r>
              <w:rPr>
                <w:noProof/>
                <w:webHidden/>
              </w:rPr>
            </w:r>
            <w:r>
              <w:rPr>
                <w:noProof/>
                <w:webHidden/>
              </w:rPr>
              <w:fldChar w:fldCharType="separate"/>
            </w:r>
            <w:r w:rsidR="00A83B45">
              <w:rPr>
                <w:noProof/>
                <w:webHidden/>
              </w:rPr>
              <w:t>5</w:t>
            </w:r>
            <w:r>
              <w:rPr>
                <w:noProof/>
                <w:webHidden/>
              </w:rPr>
              <w:fldChar w:fldCharType="end"/>
            </w:r>
          </w:hyperlink>
        </w:p>
        <w:p w14:paraId="32465566" w14:textId="1F3C68E9"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4" w:history="1">
            <w:r w:rsidRPr="00F164E7">
              <w:rPr>
                <w:rStyle w:val="Hyperlink"/>
                <w:noProof/>
              </w:rPr>
              <w:t>1.4</w:t>
            </w:r>
            <w:r>
              <w:rPr>
                <w:rFonts w:eastAsiaTheme="minorEastAsia"/>
                <w:noProof/>
                <w:kern w:val="2"/>
                <w:szCs w:val="24"/>
                <w:lang w:eastAsia="en-GB"/>
                <w14:ligatures w14:val="standardContextual"/>
              </w:rPr>
              <w:tab/>
            </w:r>
            <w:r w:rsidRPr="00F164E7">
              <w:rPr>
                <w:rStyle w:val="Hyperlink"/>
                <w:noProof/>
              </w:rPr>
              <w:t>How to respond</w:t>
            </w:r>
            <w:r>
              <w:rPr>
                <w:noProof/>
                <w:webHidden/>
              </w:rPr>
              <w:tab/>
            </w:r>
            <w:r>
              <w:rPr>
                <w:noProof/>
                <w:webHidden/>
              </w:rPr>
              <w:fldChar w:fldCharType="begin"/>
            </w:r>
            <w:r>
              <w:rPr>
                <w:noProof/>
                <w:webHidden/>
              </w:rPr>
              <w:instrText xml:space="preserve"> PAGEREF _Toc201927334 \h </w:instrText>
            </w:r>
            <w:r>
              <w:rPr>
                <w:noProof/>
                <w:webHidden/>
              </w:rPr>
            </w:r>
            <w:r>
              <w:rPr>
                <w:noProof/>
                <w:webHidden/>
              </w:rPr>
              <w:fldChar w:fldCharType="separate"/>
            </w:r>
            <w:r w:rsidR="00A83B45">
              <w:rPr>
                <w:noProof/>
                <w:webHidden/>
              </w:rPr>
              <w:t>5</w:t>
            </w:r>
            <w:r>
              <w:rPr>
                <w:noProof/>
                <w:webHidden/>
              </w:rPr>
              <w:fldChar w:fldCharType="end"/>
            </w:r>
          </w:hyperlink>
        </w:p>
        <w:p w14:paraId="4F46ED31" w14:textId="52890B2A"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5" w:history="1">
            <w:r w:rsidRPr="00F164E7">
              <w:rPr>
                <w:rStyle w:val="Hyperlink"/>
                <w:noProof/>
                <w:lang w:eastAsia="en-GB"/>
              </w:rPr>
              <w:t>1.5</w:t>
            </w:r>
            <w:r>
              <w:rPr>
                <w:rFonts w:eastAsiaTheme="minorEastAsia"/>
                <w:noProof/>
                <w:kern w:val="2"/>
                <w:szCs w:val="24"/>
                <w:lang w:eastAsia="en-GB"/>
                <w14:ligatures w14:val="standardContextual"/>
              </w:rPr>
              <w:tab/>
            </w:r>
            <w:r w:rsidRPr="00F164E7">
              <w:rPr>
                <w:rStyle w:val="Hyperlink"/>
                <w:noProof/>
                <w:lang w:eastAsia="en-GB"/>
              </w:rPr>
              <w:t>Next steps</w:t>
            </w:r>
            <w:r>
              <w:rPr>
                <w:noProof/>
                <w:webHidden/>
              </w:rPr>
              <w:tab/>
            </w:r>
            <w:r>
              <w:rPr>
                <w:noProof/>
                <w:webHidden/>
              </w:rPr>
              <w:fldChar w:fldCharType="begin"/>
            </w:r>
            <w:r>
              <w:rPr>
                <w:noProof/>
                <w:webHidden/>
              </w:rPr>
              <w:instrText xml:space="preserve"> PAGEREF _Toc201927335 \h </w:instrText>
            </w:r>
            <w:r>
              <w:rPr>
                <w:noProof/>
                <w:webHidden/>
              </w:rPr>
            </w:r>
            <w:r>
              <w:rPr>
                <w:noProof/>
                <w:webHidden/>
              </w:rPr>
              <w:fldChar w:fldCharType="separate"/>
            </w:r>
            <w:r w:rsidR="00A83B45">
              <w:rPr>
                <w:noProof/>
                <w:webHidden/>
              </w:rPr>
              <w:t>5</w:t>
            </w:r>
            <w:r>
              <w:rPr>
                <w:noProof/>
                <w:webHidden/>
              </w:rPr>
              <w:fldChar w:fldCharType="end"/>
            </w:r>
          </w:hyperlink>
        </w:p>
        <w:p w14:paraId="6F06410C" w14:textId="2C3D3B27"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6" w:history="1">
            <w:r w:rsidRPr="00F164E7">
              <w:rPr>
                <w:rStyle w:val="Hyperlink"/>
                <w:noProof/>
              </w:rPr>
              <w:t>1.6</w:t>
            </w:r>
            <w:r>
              <w:rPr>
                <w:rFonts w:eastAsiaTheme="minorEastAsia"/>
                <w:noProof/>
                <w:kern w:val="2"/>
                <w:szCs w:val="24"/>
                <w:lang w:eastAsia="en-GB"/>
                <w14:ligatures w14:val="standardContextual"/>
              </w:rPr>
              <w:tab/>
            </w:r>
            <w:r w:rsidRPr="00F164E7">
              <w:rPr>
                <w:rStyle w:val="Hyperlink"/>
                <w:noProof/>
              </w:rPr>
              <w:t>Questions</w:t>
            </w:r>
            <w:r>
              <w:rPr>
                <w:noProof/>
                <w:webHidden/>
              </w:rPr>
              <w:tab/>
            </w:r>
            <w:r>
              <w:rPr>
                <w:noProof/>
                <w:webHidden/>
              </w:rPr>
              <w:fldChar w:fldCharType="begin"/>
            </w:r>
            <w:r>
              <w:rPr>
                <w:noProof/>
                <w:webHidden/>
              </w:rPr>
              <w:instrText xml:space="preserve"> PAGEREF _Toc201927336 \h </w:instrText>
            </w:r>
            <w:r>
              <w:rPr>
                <w:noProof/>
                <w:webHidden/>
              </w:rPr>
            </w:r>
            <w:r>
              <w:rPr>
                <w:noProof/>
                <w:webHidden/>
              </w:rPr>
              <w:fldChar w:fldCharType="separate"/>
            </w:r>
            <w:r w:rsidR="00A83B45">
              <w:rPr>
                <w:noProof/>
                <w:webHidden/>
              </w:rPr>
              <w:t>5</w:t>
            </w:r>
            <w:r>
              <w:rPr>
                <w:noProof/>
                <w:webHidden/>
              </w:rPr>
              <w:fldChar w:fldCharType="end"/>
            </w:r>
          </w:hyperlink>
        </w:p>
        <w:p w14:paraId="5DFA57CD" w14:textId="2D550669"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37" w:history="1">
            <w:r w:rsidRPr="00F164E7">
              <w:rPr>
                <w:rStyle w:val="Hyperlink"/>
                <w:noProof/>
              </w:rPr>
              <w:t>2.</w:t>
            </w:r>
            <w:r>
              <w:rPr>
                <w:rFonts w:eastAsiaTheme="minorEastAsia"/>
                <w:noProof/>
                <w:kern w:val="2"/>
                <w:szCs w:val="24"/>
                <w:lang w:eastAsia="en-GB"/>
                <w14:ligatures w14:val="standardContextual"/>
              </w:rPr>
              <w:tab/>
            </w:r>
            <w:r w:rsidRPr="00F164E7">
              <w:rPr>
                <w:rStyle w:val="Hyperlink"/>
                <w:noProof/>
              </w:rPr>
              <w:t>Consultation Process</w:t>
            </w:r>
            <w:r>
              <w:rPr>
                <w:noProof/>
                <w:webHidden/>
              </w:rPr>
              <w:tab/>
            </w:r>
            <w:r>
              <w:rPr>
                <w:noProof/>
                <w:webHidden/>
              </w:rPr>
              <w:fldChar w:fldCharType="begin"/>
            </w:r>
            <w:r>
              <w:rPr>
                <w:noProof/>
                <w:webHidden/>
              </w:rPr>
              <w:instrText xml:space="preserve"> PAGEREF _Toc201927337 \h </w:instrText>
            </w:r>
            <w:r>
              <w:rPr>
                <w:noProof/>
                <w:webHidden/>
              </w:rPr>
            </w:r>
            <w:r>
              <w:rPr>
                <w:noProof/>
                <w:webHidden/>
              </w:rPr>
              <w:fldChar w:fldCharType="separate"/>
            </w:r>
            <w:r w:rsidR="00A83B45">
              <w:rPr>
                <w:noProof/>
                <w:webHidden/>
              </w:rPr>
              <w:t>5</w:t>
            </w:r>
            <w:r>
              <w:rPr>
                <w:noProof/>
                <w:webHidden/>
              </w:rPr>
              <w:fldChar w:fldCharType="end"/>
            </w:r>
          </w:hyperlink>
        </w:p>
        <w:p w14:paraId="680749C8" w14:textId="2F71E9CA"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8" w:history="1">
            <w:r w:rsidRPr="00F164E7">
              <w:rPr>
                <w:rStyle w:val="Hyperlink"/>
                <w:noProof/>
              </w:rPr>
              <w:t>2.1</w:t>
            </w:r>
            <w:r>
              <w:rPr>
                <w:rFonts w:eastAsiaTheme="minorEastAsia"/>
                <w:noProof/>
                <w:kern w:val="2"/>
                <w:szCs w:val="24"/>
                <w:lang w:eastAsia="en-GB"/>
                <w14:ligatures w14:val="standardContextual"/>
              </w:rPr>
              <w:tab/>
            </w:r>
            <w:r w:rsidRPr="00F164E7">
              <w:rPr>
                <w:rStyle w:val="Hyperlink"/>
                <w:noProof/>
              </w:rPr>
              <w:t>The Authority’s regulatory objectives</w:t>
            </w:r>
            <w:r>
              <w:rPr>
                <w:noProof/>
                <w:webHidden/>
              </w:rPr>
              <w:tab/>
            </w:r>
            <w:r>
              <w:rPr>
                <w:noProof/>
                <w:webHidden/>
              </w:rPr>
              <w:fldChar w:fldCharType="begin"/>
            </w:r>
            <w:r>
              <w:rPr>
                <w:noProof/>
                <w:webHidden/>
              </w:rPr>
              <w:instrText xml:space="preserve"> PAGEREF _Toc201927338 \h </w:instrText>
            </w:r>
            <w:r>
              <w:rPr>
                <w:noProof/>
                <w:webHidden/>
              </w:rPr>
            </w:r>
            <w:r>
              <w:rPr>
                <w:noProof/>
                <w:webHidden/>
              </w:rPr>
              <w:fldChar w:fldCharType="separate"/>
            </w:r>
            <w:r w:rsidR="00A83B45">
              <w:rPr>
                <w:noProof/>
                <w:webHidden/>
              </w:rPr>
              <w:t>5</w:t>
            </w:r>
            <w:r>
              <w:rPr>
                <w:noProof/>
                <w:webHidden/>
              </w:rPr>
              <w:fldChar w:fldCharType="end"/>
            </w:r>
          </w:hyperlink>
        </w:p>
        <w:p w14:paraId="7AA67696" w14:textId="61E00474"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39" w:history="1">
            <w:r w:rsidRPr="00F164E7">
              <w:rPr>
                <w:rStyle w:val="Hyperlink"/>
                <w:noProof/>
              </w:rPr>
              <w:t>2.2</w:t>
            </w:r>
            <w:r>
              <w:rPr>
                <w:rFonts w:eastAsiaTheme="minorEastAsia"/>
                <w:noProof/>
                <w:kern w:val="2"/>
                <w:szCs w:val="24"/>
                <w:lang w:eastAsia="en-GB"/>
                <w14:ligatures w14:val="standardContextual"/>
              </w:rPr>
              <w:tab/>
            </w:r>
            <w:r w:rsidRPr="00F164E7">
              <w:rPr>
                <w:rStyle w:val="Hyperlink"/>
                <w:noProof/>
              </w:rPr>
              <w:t>Basis for consultation</w:t>
            </w:r>
            <w:r>
              <w:rPr>
                <w:noProof/>
                <w:webHidden/>
              </w:rPr>
              <w:tab/>
            </w:r>
            <w:r>
              <w:rPr>
                <w:noProof/>
                <w:webHidden/>
              </w:rPr>
              <w:fldChar w:fldCharType="begin"/>
            </w:r>
            <w:r>
              <w:rPr>
                <w:noProof/>
                <w:webHidden/>
              </w:rPr>
              <w:instrText xml:space="preserve"> PAGEREF _Toc201927339 \h </w:instrText>
            </w:r>
            <w:r>
              <w:rPr>
                <w:noProof/>
                <w:webHidden/>
              </w:rPr>
            </w:r>
            <w:r>
              <w:rPr>
                <w:noProof/>
                <w:webHidden/>
              </w:rPr>
              <w:fldChar w:fldCharType="separate"/>
            </w:r>
            <w:r w:rsidR="00A83B45">
              <w:rPr>
                <w:noProof/>
                <w:webHidden/>
              </w:rPr>
              <w:t>6</w:t>
            </w:r>
            <w:r>
              <w:rPr>
                <w:noProof/>
                <w:webHidden/>
              </w:rPr>
              <w:fldChar w:fldCharType="end"/>
            </w:r>
          </w:hyperlink>
        </w:p>
        <w:p w14:paraId="5F205F23" w14:textId="6C8EADB2"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0" w:history="1">
            <w:r w:rsidRPr="00F164E7">
              <w:rPr>
                <w:rStyle w:val="Hyperlink"/>
                <w:noProof/>
              </w:rPr>
              <w:t>2.3</w:t>
            </w:r>
            <w:r>
              <w:rPr>
                <w:rFonts w:eastAsiaTheme="minorEastAsia"/>
                <w:noProof/>
                <w:kern w:val="2"/>
                <w:szCs w:val="24"/>
                <w:lang w:eastAsia="en-GB"/>
                <w14:ligatures w14:val="standardContextual"/>
              </w:rPr>
              <w:tab/>
            </w:r>
            <w:r w:rsidRPr="00F164E7">
              <w:rPr>
                <w:rStyle w:val="Hyperlink"/>
                <w:noProof/>
              </w:rPr>
              <w:t>Responding to the Discussion Paper</w:t>
            </w:r>
            <w:r>
              <w:rPr>
                <w:noProof/>
                <w:webHidden/>
              </w:rPr>
              <w:tab/>
            </w:r>
            <w:r>
              <w:rPr>
                <w:noProof/>
                <w:webHidden/>
              </w:rPr>
              <w:fldChar w:fldCharType="begin"/>
            </w:r>
            <w:r>
              <w:rPr>
                <w:noProof/>
                <w:webHidden/>
              </w:rPr>
              <w:instrText xml:space="preserve"> PAGEREF _Toc201927340 \h </w:instrText>
            </w:r>
            <w:r>
              <w:rPr>
                <w:noProof/>
                <w:webHidden/>
              </w:rPr>
            </w:r>
            <w:r>
              <w:rPr>
                <w:noProof/>
                <w:webHidden/>
              </w:rPr>
              <w:fldChar w:fldCharType="separate"/>
            </w:r>
            <w:r w:rsidR="00A83B45">
              <w:rPr>
                <w:noProof/>
                <w:webHidden/>
              </w:rPr>
              <w:t>6</w:t>
            </w:r>
            <w:r>
              <w:rPr>
                <w:noProof/>
                <w:webHidden/>
              </w:rPr>
              <w:fldChar w:fldCharType="end"/>
            </w:r>
          </w:hyperlink>
        </w:p>
        <w:p w14:paraId="77EEAB49" w14:textId="25D5A92C"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1" w:history="1">
            <w:r w:rsidRPr="00F164E7">
              <w:rPr>
                <w:rStyle w:val="Hyperlink"/>
                <w:noProof/>
              </w:rPr>
              <w:t>2.4</w:t>
            </w:r>
            <w:r>
              <w:rPr>
                <w:rFonts w:eastAsiaTheme="minorEastAsia"/>
                <w:noProof/>
                <w:kern w:val="2"/>
                <w:szCs w:val="24"/>
                <w:lang w:eastAsia="en-GB"/>
                <w14:ligatures w14:val="standardContextual"/>
              </w:rPr>
              <w:tab/>
            </w:r>
            <w:r w:rsidRPr="00F164E7">
              <w:rPr>
                <w:rStyle w:val="Hyperlink"/>
                <w:noProof/>
              </w:rPr>
              <w:t>Confidentiality and data protection</w:t>
            </w:r>
            <w:r>
              <w:rPr>
                <w:noProof/>
                <w:webHidden/>
              </w:rPr>
              <w:tab/>
            </w:r>
            <w:r>
              <w:rPr>
                <w:noProof/>
                <w:webHidden/>
              </w:rPr>
              <w:fldChar w:fldCharType="begin"/>
            </w:r>
            <w:r>
              <w:rPr>
                <w:noProof/>
                <w:webHidden/>
              </w:rPr>
              <w:instrText xml:space="preserve"> PAGEREF _Toc201927341 \h </w:instrText>
            </w:r>
            <w:r>
              <w:rPr>
                <w:noProof/>
                <w:webHidden/>
              </w:rPr>
            </w:r>
            <w:r>
              <w:rPr>
                <w:noProof/>
                <w:webHidden/>
              </w:rPr>
              <w:fldChar w:fldCharType="separate"/>
            </w:r>
            <w:r w:rsidR="00A83B45">
              <w:rPr>
                <w:noProof/>
                <w:webHidden/>
              </w:rPr>
              <w:t>6</w:t>
            </w:r>
            <w:r>
              <w:rPr>
                <w:noProof/>
                <w:webHidden/>
              </w:rPr>
              <w:fldChar w:fldCharType="end"/>
            </w:r>
          </w:hyperlink>
        </w:p>
        <w:p w14:paraId="1A2E0D1A" w14:textId="6A49397F"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42" w:history="1">
            <w:r w:rsidRPr="00F164E7">
              <w:rPr>
                <w:rStyle w:val="Hyperlink"/>
                <w:noProof/>
              </w:rPr>
              <w:t>3.</w:t>
            </w:r>
            <w:r>
              <w:rPr>
                <w:rFonts w:eastAsiaTheme="minorEastAsia"/>
                <w:noProof/>
                <w:kern w:val="2"/>
                <w:szCs w:val="24"/>
                <w:lang w:eastAsia="en-GB"/>
                <w14:ligatures w14:val="standardContextual"/>
              </w:rPr>
              <w:tab/>
            </w:r>
            <w:r w:rsidRPr="00F164E7">
              <w:rPr>
                <w:rStyle w:val="Hyperlink"/>
                <w:noProof/>
              </w:rPr>
              <w:t>Proposals</w:t>
            </w:r>
            <w:r>
              <w:rPr>
                <w:noProof/>
                <w:webHidden/>
              </w:rPr>
              <w:tab/>
            </w:r>
            <w:r>
              <w:rPr>
                <w:noProof/>
                <w:webHidden/>
              </w:rPr>
              <w:fldChar w:fldCharType="begin"/>
            </w:r>
            <w:r>
              <w:rPr>
                <w:noProof/>
                <w:webHidden/>
              </w:rPr>
              <w:instrText xml:space="preserve"> PAGEREF _Toc201927342 \h </w:instrText>
            </w:r>
            <w:r>
              <w:rPr>
                <w:noProof/>
                <w:webHidden/>
              </w:rPr>
            </w:r>
            <w:r>
              <w:rPr>
                <w:noProof/>
                <w:webHidden/>
              </w:rPr>
              <w:fldChar w:fldCharType="separate"/>
            </w:r>
            <w:r w:rsidR="00A83B45">
              <w:rPr>
                <w:noProof/>
                <w:webHidden/>
              </w:rPr>
              <w:t>6</w:t>
            </w:r>
            <w:r>
              <w:rPr>
                <w:noProof/>
                <w:webHidden/>
              </w:rPr>
              <w:fldChar w:fldCharType="end"/>
            </w:r>
          </w:hyperlink>
        </w:p>
        <w:p w14:paraId="73B96267" w14:textId="436147FD"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3" w:history="1">
            <w:r w:rsidRPr="00F164E7">
              <w:rPr>
                <w:rStyle w:val="Hyperlink"/>
                <w:noProof/>
              </w:rPr>
              <w:t>3.1</w:t>
            </w:r>
            <w:r>
              <w:rPr>
                <w:rFonts w:eastAsiaTheme="minorEastAsia"/>
                <w:noProof/>
                <w:kern w:val="2"/>
                <w:szCs w:val="24"/>
                <w:lang w:eastAsia="en-GB"/>
                <w14:ligatures w14:val="standardContextual"/>
              </w:rPr>
              <w:tab/>
            </w:r>
            <w:r w:rsidRPr="00F164E7">
              <w:rPr>
                <w:rStyle w:val="Hyperlink"/>
                <w:noProof/>
              </w:rPr>
              <w:t>Background</w:t>
            </w:r>
            <w:r>
              <w:rPr>
                <w:noProof/>
                <w:webHidden/>
              </w:rPr>
              <w:tab/>
            </w:r>
            <w:r>
              <w:rPr>
                <w:noProof/>
                <w:webHidden/>
              </w:rPr>
              <w:fldChar w:fldCharType="begin"/>
            </w:r>
            <w:r>
              <w:rPr>
                <w:noProof/>
                <w:webHidden/>
              </w:rPr>
              <w:instrText xml:space="preserve"> PAGEREF _Toc201927343 \h </w:instrText>
            </w:r>
            <w:r>
              <w:rPr>
                <w:noProof/>
                <w:webHidden/>
              </w:rPr>
            </w:r>
            <w:r>
              <w:rPr>
                <w:noProof/>
                <w:webHidden/>
              </w:rPr>
              <w:fldChar w:fldCharType="separate"/>
            </w:r>
            <w:r w:rsidR="00A83B45">
              <w:rPr>
                <w:noProof/>
                <w:webHidden/>
              </w:rPr>
              <w:t>6</w:t>
            </w:r>
            <w:r>
              <w:rPr>
                <w:noProof/>
                <w:webHidden/>
              </w:rPr>
              <w:fldChar w:fldCharType="end"/>
            </w:r>
          </w:hyperlink>
        </w:p>
        <w:p w14:paraId="2A00FFF5" w14:textId="116C310A" w:rsidR="00E12D45" w:rsidRDefault="00E12D45">
          <w:pPr>
            <w:pStyle w:val="TOC3"/>
            <w:tabs>
              <w:tab w:val="left" w:pos="1440"/>
              <w:tab w:val="right" w:leader="dot" w:pos="9016"/>
            </w:tabs>
            <w:rPr>
              <w:rFonts w:eastAsiaTheme="minorEastAsia"/>
              <w:noProof/>
              <w:kern w:val="2"/>
              <w:szCs w:val="24"/>
              <w:lang w:eastAsia="en-GB"/>
              <w14:ligatures w14:val="standardContextual"/>
            </w:rPr>
          </w:pPr>
          <w:hyperlink w:anchor="_Toc201927344" w:history="1">
            <w:r w:rsidRPr="00F164E7">
              <w:rPr>
                <w:rStyle w:val="Hyperlink"/>
                <w:noProof/>
              </w:rPr>
              <w:t>3.1.1</w:t>
            </w:r>
            <w:r>
              <w:rPr>
                <w:rFonts w:eastAsiaTheme="minorEastAsia"/>
                <w:noProof/>
                <w:kern w:val="2"/>
                <w:szCs w:val="24"/>
                <w:lang w:eastAsia="en-GB"/>
                <w14:ligatures w14:val="standardContextual"/>
              </w:rPr>
              <w:tab/>
            </w:r>
            <w:r w:rsidRPr="00F164E7">
              <w:rPr>
                <w:rStyle w:val="Hyperlink"/>
                <w:noProof/>
              </w:rPr>
              <w:t>The NSFR Scenario</w:t>
            </w:r>
            <w:r>
              <w:rPr>
                <w:noProof/>
                <w:webHidden/>
              </w:rPr>
              <w:tab/>
            </w:r>
            <w:r>
              <w:rPr>
                <w:noProof/>
                <w:webHidden/>
              </w:rPr>
              <w:fldChar w:fldCharType="begin"/>
            </w:r>
            <w:r>
              <w:rPr>
                <w:noProof/>
                <w:webHidden/>
              </w:rPr>
              <w:instrText xml:space="preserve"> PAGEREF _Toc201927344 \h </w:instrText>
            </w:r>
            <w:r>
              <w:rPr>
                <w:noProof/>
                <w:webHidden/>
              </w:rPr>
            </w:r>
            <w:r>
              <w:rPr>
                <w:noProof/>
                <w:webHidden/>
              </w:rPr>
              <w:fldChar w:fldCharType="separate"/>
            </w:r>
            <w:r w:rsidR="00A83B45">
              <w:rPr>
                <w:noProof/>
                <w:webHidden/>
              </w:rPr>
              <w:t>7</w:t>
            </w:r>
            <w:r>
              <w:rPr>
                <w:noProof/>
                <w:webHidden/>
              </w:rPr>
              <w:fldChar w:fldCharType="end"/>
            </w:r>
          </w:hyperlink>
        </w:p>
        <w:p w14:paraId="03681B45" w14:textId="5CCBDCFE" w:rsidR="00E12D45" w:rsidRDefault="00E12D45">
          <w:pPr>
            <w:pStyle w:val="TOC3"/>
            <w:tabs>
              <w:tab w:val="left" w:pos="1440"/>
              <w:tab w:val="right" w:leader="dot" w:pos="9016"/>
            </w:tabs>
            <w:rPr>
              <w:rFonts w:eastAsiaTheme="minorEastAsia"/>
              <w:noProof/>
              <w:kern w:val="2"/>
              <w:szCs w:val="24"/>
              <w:lang w:eastAsia="en-GB"/>
              <w14:ligatures w14:val="standardContextual"/>
            </w:rPr>
          </w:pPr>
          <w:hyperlink w:anchor="_Toc201927345" w:history="1">
            <w:r w:rsidRPr="00F164E7">
              <w:rPr>
                <w:rStyle w:val="Hyperlink"/>
                <w:noProof/>
              </w:rPr>
              <w:t>3.1.2</w:t>
            </w:r>
            <w:r>
              <w:rPr>
                <w:rFonts w:eastAsiaTheme="minorEastAsia"/>
                <w:noProof/>
                <w:kern w:val="2"/>
                <w:szCs w:val="24"/>
                <w:lang w:eastAsia="en-GB"/>
                <w14:ligatures w14:val="standardContextual"/>
              </w:rPr>
              <w:tab/>
            </w:r>
            <w:r w:rsidRPr="00F164E7">
              <w:rPr>
                <w:rStyle w:val="Hyperlink"/>
                <w:noProof/>
              </w:rPr>
              <w:t>NSFR Minimum Requirements</w:t>
            </w:r>
            <w:r>
              <w:rPr>
                <w:noProof/>
                <w:webHidden/>
              </w:rPr>
              <w:tab/>
            </w:r>
            <w:r>
              <w:rPr>
                <w:noProof/>
                <w:webHidden/>
              </w:rPr>
              <w:fldChar w:fldCharType="begin"/>
            </w:r>
            <w:r>
              <w:rPr>
                <w:noProof/>
                <w:webHidden/>
              </w:rPr>
              <w:instrText xml:space="preserve"> PAGEREF _Toc201927345 \h </w:instrText>
            </w:r>
            <w:r>
              <w:rPr>
                <w:noProof/>
                <w:webHidden/>
              </w:rPr>
            </w:r>
            <w:r>
              <w:rPr>
                <w:noProof/>
                <w:webHidden/>
              </w:rPr>
              <w:fldChar w:fldCharType="separate"/>
            </w:r>
            <w:r w:rsidR="00A83B45">
              <w:rPr>
                <w:noProof/>
                <w:webHidden/>
              </w:rPr>
              <w:t>7</w:t>
            </w:r>
            <w:r>
              <w:rPr>
                <w:noProof/>
                <w:webHidden/>
              </w:rPr>
              <w:fldChar w:fldCharType="end"/>
            </w:r>
          </w:hyperlink>
        </w:p>
        <w:p w14:paraId="4BEAE18F" w14:textId="452E413F"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6" w:history="1">
            <w:r w:rsidRPr="00F164E7">
              <w:rPr>
                <w:rStyle w:val="Hyperlink"/>
                <w:noProof/>
              </w:rPr>
              <w:t>3.2</w:t>
            </w:r>
            <w:r>
              <w:rPr>
                <w:rFonts w:eastAsiaTheme="minorEastAsia"/>
                <w:noProof/>
                <w:kern w:val="2"/>
                <w:szCs w:val="24"/>
                <w:lang w:eastAsia="en-GB"/>
                <w14:ligatures w14:val="standardContextual"/>
              </w:rPr>
              <w:tab/>
            </w:r>
            <w:r w:rsidRPr="00F164E7">
              <w:rPr>
                <w:rStyle w:val="Hyperlink"/>
                <w:noProof/>
              </w:rPr>
              <w:t>Proposed Core Regulatory Requirements for the NSFR</w:t>
            </w:r>
            <w:r>
              <w:rPr>
                <w:noProof/>
                <w:webHidden/>
              </w:rPr>
              <w:tab/>
            </w:r>
            <w:r>
              <w:rPr>
                <w:noProof/>
                <w:webHidden/>
              </w:rPr>
              <w:fldChar w:fldCharType="begin"/>
            </w:r>
            <w:r>
              <w:rPr>
                <w:noProof/>
                <w:webHidden/>
              </w:rPr>
              <w:instrText xml:space="preserve"> PAGEREF _Toc201927346 \h </w:instrText>
            </w:r>
            <w:r>
              <w:rPr>
                <w:noProof/>
                <w:webHidden/>
              </w:rPr>
            </w:r>
            <w:r>
              <w:rPr>
                <w:noProof/>
                <w:webHidden/>
              </w:rPr>
              <w:fldChar w:fldCharType="separate"/>
            </w:r>
            <w:r w:rsidR="00A83B45">
              <w:rPr>
                <w:noProof/>
                <w:webHidden/>
              </w:rPr>
              <w:t>7</w:t>
            </w:r>
            <w:r>
              <w:rPr>
                <w:noProof/>
                <w:webHidden/>
              </w:rPr>
              <w:fldChar w:fldCharType="end"/>
            </w:r>
          </w:hyperlink>
        </w:p>
        <w:p w14:paraId="0CDC0D55" w14:textId="392BC134"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7" w:history="1">
            <w:r w:rsidRPr="00F164E7">
              <w:rPr>
                <w:rStyle w:val="Hyperlink"/>
                <w:noProof/>
              </w:rPr>
              <w:t>3.3</w:t>
            </w:r>
            <w:r>
              <w:rPr>
                <w:rFonts w:eastAsiaTheme="minorEastAsia"/>
                <w:noProof/>
                <w:kern w:val="2"/>
                <w:szCs w:val="24"/>
                <w:lang w:eastAsia="en-GB"/>
                <w14:ligatures w14:val="standardContextual"/>
              </w:rPr>
              <w:tab/>
            </w:r>
            <w:r w:rsidRPr="00F164E7">
              <w:rPr>
                <w:rStyle w:val="Hyperlink"/>
                <w:noProof/>
              </w:rPr>
              <w:t>Proposed Reporting Forms and Guidance</w:t>
            </w:r>
            <w:r>
              <w:rPr>
                <w:noProof/>
                <w:webHidden/>
              </w:rPr>
              <w:tab/>
            </w:r>
            <w:r>
              <w:rPr>
                <w:noProof/>
                <w:webHidden/>
              </w:rPr>
              <w:fldChar w:fldCharType="begin"/>
            </w:r>
            <w:r>
              <w:rPr>
                <w:noProof/>
                <w:webHidden/>
              </w:rPr>
              <w:instrText xml:space="preserve"> PAGEREF _Toc201927347 \h </w:instrText>
            </w:r>
            <w:r>
              <w:rPr>
                <w:noProof/>
                <w:webHidden/>
              </w:rPr>
            </w:r>
            <w:r>
              <w:rPr>
                <w:noProof/>
                <w:webHidden/>
              </w:rPr>
              <w:fldChar w:fldCharType="separate"/>
            </w:r>
            <w:r w:rsidR="00A83B45">
              <w:rPr>
                <w:noProof/>
                <w:webHidden/>
              </w:rPr>
              <w:t>9</w:t>
            </w:r>
            <w:r>
              <w:rPr>
                <w:noProof/>
                <w:webHidden/>
              </w:rPr>
              <w:fldChar w:fldCharType="end"/>
            </w:r>
          </w:hyperlink>
        </w:p>
        <w:p w14:paraId="70F83C4F" w14:textId="1B9DD820"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8" w:history="1">
            <w:r w:rsidRPr="00F164E7">
              <w:rPr>
                <w:rStyle w:val="Hyperlink"/>
                <w:noProof/>
              </w:rPr>
              <w:t>3.4</w:t>
            </w:r>
            <w:r>
              <w:rPr>
                <w:rFonts w:eastAsiaTheme="minorEastAsia"/>
                <w:noProof/>
                <w:kern w:val="2"/>
                <w:szCs w:val="24"/>
                <w:lang w:eastAsia="en-GB"/>
                <w14:ligatures w14:val="standardContextual"/>
              </w:rPr>
              <w:tab/>
            </w:r>
            <w:r w:rsidRPr="00F164E7">
              <w:rPr>
                <w:rStyle w:val="Hyperlink"/>
                <w:noProof/>
              </w:rPr>
              <w:t>NSFR Proposed Frequency of Reporting</w:t>
            </w:r>
            <w:r>
              <w:rPr>
                <w:noProof/>
                <w:webHidden/>
              </w:rPr>
              <w:tab/>
            </w:r>
            <w:r>
              <w:rPr>
                <w:noProof/>
                <w:webHidden/>
              </w:rPr>
              <w:fldChar w:fldCharType="begin"/>
            </w:r>
            <w:r>
              <w:rPr>
                <w:noProof/>
                <w:webHidden/>
              </w:rPr>
              <w:instrText xml:space="preserve"> PAGEREF _Toc201927348 \h </w:instrText>
            </w:r>
            <w:r>
              <w:rPr>
                <w:noProof/>
                <w:webHidden/>
              </w:rPr>
            </w:r>
            <w:r>
              <w:rPr>
                <w:noProof/>
                <w:webHidden/>
              </w:rPr>
              <w:fldChar w:fldCharType="separate"/>
            </w:r>
            <w:r w:rsidR="00A83B45">
              <w:rPr>
                <w:noProof/>
                <w:webHidden/>
              </w:rPr>
              <w:t>10</w:t>
            </w:r>
            <w:r>
              <w:rPr>
                <w:noProof/>
                <w:webHidden/>
              </w:rPr>
              <w:fldChar w:fldCharType="end"/>
            </w:r>
          </w:hyperlink>
        </w:p>
        <w:p w14:paraId="7E2E9902" w14:textId="35C0D0A9" w:rsidR="00E12D45" w:rsidRDefault="00E12D45">
          <w:pPr>
            <w:pStyle w:val="TOC2"/>
            <w:tabs>
              <w:tab w:val="left" w:pos="960"/>
              <w:tab w:val="right" w:leader="dot" w:pos="9016"/>
            </w:tabs>
            <w:rPr>
              <w:rFonts w:eastAsiaTheme="minorEastAsia"/>
              <w:noProof/>
              <w:kern w:val="2"/>
              <w:szCs w:val="24"/>
              <w:lang w:eastAsia="en-GB"/>
              <w14:ligatures w14:val="standardContextual"/>
            </w:rPr>
          </w:pPr>
          <w:hyperlink w:anchor="_Toc201927349" w:history="1">
            <w:r w:rsidRPr="00F164E7">
              <w:rPr>
                <w:rStyle w:val="Hyperlink"/>
                <w:noProof/>
              </w:rPr>
              <w:t>3.5</w:t>
            </w:r>
            <w:r>
              <w:rPr>
                <w:rFonts w:eastAsiaTheme="minorEastAsia"/>
                <w:noProof/>
                <w:kern w:val="2"/>
                <w:szCs w:val="24"/>
                <w:lang w:eastAsia="en-GB"/>
                <w14:ligatures w14:val="standardContextual"/>
              </w:rPr>
              <w:tab/>
            </w:r>
            <w:r w:rsidRPr="00F164E7">
              <w:rPr>
                <w:rStyle w:val="Hyperlink"/>
                <w:noProof/>
              </w:rPr>
              <w:t>Transition and Implementation</w:t>
            </w:r>
            <w:r>
              <w:rPr>
                <w:noProof/>
                <w:webHidden/>
              </w:rPr>
              <w:tab/>
            </w:r>
            <w:r>
              <w:rPr>
                <w:noProof/>
                <w:webHidden/>
              </w:rPr>
              <w:fldChar w:fldCharType="begin"/>
            </w:r>
            <w:r>
              <w:rPr>
                <w:noProof/>
                <w:webHidden/>
              </w:rPr>
              <w:instrText xml:space="preserve"> PAGEREF _Toc201927349 \h </w:instrText>
            </w:r>
            <w:r>
              <w:rPr>
                <w:noProof/>
                <w:webHidden/>
              </w:rPr>
            </w:r>
            <w:r>
              <w:rPr>
                <w:noProof/>
                <w:webHidden/>
              </w:rPr>
              <w:fldChar w:fldCharType="separate"/>
            </w:r>
            <w:r w:rsidR="00A83B45">
              <w:rPr>
                <w:noProof/>
                <w:webHidden/>
              </w:rPr>
              <w:t>10</w:t>
            </w:r>
            <w:r>
              <w:rPr>
                <w:noProof/>
                <w:webHidden/>
              </w:rPr>
              <w:fldChar w:fldCharType="end"/>
            </w:r>
          </w:hyperlink>
        </w:p>
        <w:p w14:paraId="5CB0DABC" w14:textId="65AF2125" w:rsidR="00E12D45" w:rsidRDefault="00E12D45">
          <w:pPr>
            <w:pStyle w:val="TOC3"/>
            <w:tabs>
              <w:tab w:val="left" w:pos="1440"/>
              <w:tab w:val="right" w:leader="dot" w:pos="9016"/>
            </w:tabs>
            <w:rPr>
              <w:rFonts w:eastAsiaTheme="minorEastAsia"/>
              <w:noProof/>
              <w:kern w:val="2"/>
              <w:szCs w:val="24"/>
              <w:lang w:eastAsia="en-GB"/>
              <w14:ligatures w14:val="standardContextual"/>
            </w:rPr>
          </w:pPr>
          <w:hyperlink w:anchor="_Toc201927350" w:history="1">
            <w:r w:rsidRPr="00F164E7">
              <w:rPr>
                <w:rStyle w:val="Hyperlink"/>
                <w:noProof/>
              </w:rPr>
              <w:t>3.5.1</w:t>
            </w:r>
            <w:r>
              <w:rPr>
                <w:rFonts w:eastAsiaTheme="minorEastAsia"/>
                <w:noProof/>
                <w:kern w:val="2"/>
                <w:szCs w:val="24"/>
                <w:lang w:eastAsia="en-GB"/>
                <w14:ligatures w14:val="standardContextual"/>
              </w:rPr>
              <w:tab/>
            </w:r>
            <w:r w:rsidRPr="00F164E7">
              <w:rPr>
                <w:rStyle w:val="Hyperlink"/>
                <w:noProof/>
              </w:rPr>
              <w:t>General approach</w:t>
            </w:r>
            <w:r>
              <w:rPr>
                <w:noProof/>
                <w:webHidden/>
              </w:rPr>
              <w:tab/>
            </w:r>
            <w:r>
              <w:rPr>
                <w:noProof/>
                <w:webHidden/>
              </w:rPr>
              <w:fldChar w:fldCharType="begin"/>
            </w:r>
            <w:r>
              <w:rPr>
                <w:noProof/>
                <w:webHidden/>
              </w:rPr>
              <w:instrText xml:space="preserve"> PAGEREF _Toc201927350 \h </w:instrText>
            </w:r>
            <w:r>
              <w:rPr>
                <w:noProof/>
                <w:webHidden/>
              </w:rPr>
            </w:r>
            <w:r>
              <w:rPr>
                <w:noProof/>
                <w:webHidden/>
              </w:rPr>
              <w:fldChar w:fldCharType="separate"/>
            </w:r>
            <w:r w:rsidR="00A83B45">
              <w:rPr>
                <w:noProof/>
                <w:webHidden/>
              </w:rPr>
              <w:t>10</w:t>
            </w:r>
            <w:r>
              <w:rPr>
                <w:noProof/>
                <w:webHidden/>
              </w:rPr>
              <w:fldChar w:fldCharType="end"/>
            </w:r>
          </w:hyperlink>
        </w:p>
        <w:p w14:paraId="07C445A0" w14:textId="387B3F78" w:rsidR="00E12D45" w:rsidRDefault="00E12D45">
          <w:pPr>
            <w:pStyle w:val="TOC3"/>
            <w:tabs>
              <w:tab w:val="left" w:pos="1440"/>
              <w:tab w:val="right" w:leader="dot" w:pos="9016"/>
            </w:tabs>
            <w:rPr>
              <w:rFonts w:eastAsiaTheme="minorEastAsia"/>
              <w:noProof/>
              <w:kern w:val="2"/>
              <w:szCs w:val="24"/>
              <w:lang w:eastAsia="en-GB"/>
              <w14:ligatures w14:val="standardContextual"/>
            </w:rPr>
          </w:pPr>
          <w:hyperlink w:anchor="_Toc201927351" w:history="1">
            <w:r w:rsidRPr="00F164E7">
              <w:rPr>
                <w:rStyle w:val="Hyperlink"/>
                <w:noProof/>
              </w:rPr>
              <w:t>3.5.2</w:t>
            </w:r>
            <w:r>
              <w:rPr>
                <w:rFonts w:eastAsiaTheme="minorEastAsia"/>
                <w:noProof/>
                <w:kern w:val="2"/>
                <w:szCs w:val="24"/>
                <w:lang w:eastAsia="en-GB"/>
                <w14:ligatures w14:val="standardContextual"/>
              </w:rPr>
              <w:tab/>
            </w:r>
            <w:r w:rsidRPr="00F164E7">
              <w:rPr>
                <w:rStyle w:val="Hyperlink"/>
                <w:noProof/>
              </w:rPr>
              <w:t>Specific transitional arrangements</w:t>
            </w:r>
            <w:r>
              <w:rPr>
                <w:noProof/>
                <w:webHidden/>
              </w:rPr>
              <w:tab/>
            </w:r>
            <w:r>
              <w:rPr>
                <w:noProof/>
                <w:webHidden/>
              </w:rPr>
              <w:fldChar w:fldCharType="begin"/>
            </w:r>
            <w:r>
              <w:rPr>
                <w:noProof/>
                <w:webHidden/>
              </w:rPr>
              <w:instrText xml:space="preserve"> PAGEREF _Toc201927351 \h </w:instrText>
            </w:r>
            <w:r>
              <w:rPr>
                <w:noProof/>
                <w:webHidden/>
              </w:rPr>
            </w:r>
            <w:r>
              <w:rPr>
                <w:noProof/>
                <w:webHidden/>
              </w:rPr>
              <w:fldChar w:fldCharType="separate"/>
            </w:r>
            <w:r w:rsidR="00A83B45">
              <w:rPr>
                <w:noProof/>
                <w:webHidden/>
              </w:rPr>
              <w:t>11</w:t>
            </w:r>
            <w:r>
              <w:rPr>
                <w:noProof/>
                <w:webHidden/>
              </w:rPr>
              <w:fldChar w:fldCharType="end"/>
            </w:r>
          </w:hyperlink>
        </w:p>
        <w:p w14:paraId="0FAFD11C" w14:textId="2E76B5C5"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52" w:history="1">
            <w:r w:rsidRPr="00F164E7">
              <w:rPr>
                <w:rStyle w:val="Hyperlink"/>
                <w:noProof/>
              </w:rPr>
              <w:t>4.</w:t>
            </w:r>
            <w:r>
              <w:rPr>
                <w:rFonts w:eastAsiaTheme="minorEastAsia"/>
                <w:noProof/>
                <w:kern w:val="2"/>
                <w:szCs w:val="24"/>
                <w:lang w:eastAsia="en-GB"/>
                <w14:ligatures w14:val="standardContextual"/>
              </w:rPr>
              <w:tab/>
            </w:r>
            <w:r w:rsidRPr="00F164E7">
              <w:rPr>
                <w:rStyle w:val="Hyperlink"/>
                <w:noProof/>
              </w:rPr>
              <w:t>Impact Assessment</w:t>
            </w:r>
            <w:r>
              <w:rPr>
                <w:noProof/>
                <w:webHidden/>
              </w:rPr>
              <w:tab/>
            </w:r>
            <w:r>
              <w:rPr>
                <w:noProof/>
                <w:webHidden/>
              </w:rPr>
              <w:fldChar w:fldCharType="begin"/>
            </w:r>
            <w:r>
              <w:rPr>
                <w:noProof/>
                <w:webHidden/>
              </w:rPr>
              <w:instrText xml:space="preserve"> PAGEREF _Toc201927352 \h </w:instrText>
            </w:r>
            <w:r>
              <w:rPr>
                <w:noProof/>
                <w:webHidden/>
              </w:rPr>
            </w:r>
            <w:r>
              <w:rPr>
                <w:noProof/>
                <w:webHidden/>
              </w:rPr>
              <w:fldChar w:fldCharType="separate"/>
            </w:r>
            <w:r w:rsidR="00A83B45">
              <w:rPr>
                <w:noProof/>
                <w:webHidden/>
              </w:rPr>
              <w:t>12</w:t>
            </w:r>
            <w:r>
              <w:rPr>
                <w:noProof/>
                <w:webHidden/>
              </w:rPr>
              <w:fldChar w:fldCharType="end"/>
            </w:r>
          </w:hyperlink>
        </w:p>
        <w:p w14:paraId="66F5EBAC" w14:textId="2C2F3458"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53" w:history="1">
            <w:r w:rsidRPr="00F164E7">
              <w:rPr>
                <w:rStyle w:val="Hyperlink"/>
                <w:noProof/>
              </w:rPr>
              <w:t>5.</w:t>
            </w:r>
            <w:r>
              <w:rPr>
                <w:rFonts w:eastAsiaTheme="minorEastAsia"/>
                <w:noProof/>
                <w:kern w:val="2"/>
                <w:szCs w:val="24"/>
                <w:lang w:eastAsia="en-GB"/>
                <w14:ligatures w14:val="standardContextual"/>
              </w:rPr>
              <w:tab/>
            </w:r>
            <w:r w:rsidRPr="00F164E7">
              <w:rPr>
                <w:rStyle w:val="Hyperlink"/>
                <w:noProof/>
              </w:rPr>
              <w:t>Questions</w:t>
            </w:r>
            <w:r>
              <w:rPr>
                <w:noProof/>
                <w:webHidden/>
              </w:rPr>
              <w:tab/>
            </w:r>
            <w:r>
              <w:rPr>
                <w:noProof/>
                <w:webHidden/>
              </w:rPr>
              <w:fldChar w:fldCharType="begin"/>
            </w:r>
            <w:r>
              <w:rPr>
                <w:noProof/>
                <w:webHidden/>
              </w:rPr>
              <w:instrText xml:space="preserve"> PAGEREF _Toc201927353 \h </w:instrText>
            </w:r>
            <w:r>
              <w:rPr>
                <w:noProof/>
                <w:webHidden/>
              </w:rPr>
            </w:r>
            <w:r>
              <w:rPr>
                <w:noProof/>
                <w:webHidden/>
              </w:rPr>
              <w:fldChar w:fldCharType="separate"/>
            </w:r>
            <w:r w:rsidR="00A83B45">
              <w:rPr>
                <w:noProof/>
                <w:webHidden/>
              </w:rPr>
              <w:t>13</w:t>
            </w:r>
            <w:r>
              <w:rPr>
                <w:noProof/>
                <w:webHidden/>
              </w:rPr>
              <w:fldChar w:fldCharType="end"/>
            </w:r>
          </w:hyperlink>
        </w:p>
        <w:p w14:paraId="035F10C9" w14:textId="085DF8FF" w:rsidR="00E12D45" w:rsidRDefault="00E12D45">
          <w:pPr>
            <w:pStyle w:val="TOC1"/>
            <w:tabs>
              <w:tab w:val="right" w:leader="dot" w:pos="9016"/>
            </w:tabs>
            <w:rPr>
              <w:rFonts w:eastAsiaTheme="minorEastAsia"/>
              <w:noProof/>
              <w:kern w:val="2"/>
              <w:szCs w:val="24"/>
              <w:lang w:eastAsia="en-GB"/>
              <w14:ligatures w14:val="standardContextual"/>
            </w:rPr>
          </w:pPr>
          <w:hyperlink w:anchor="_Toc201927354" w:history="1">
            <w:r w:rsidRPr="00F164E7">
              <w:rPr>
                <w:rStyle w:val="Hyperlink"/>
                <w:noProof/>
              </w:rPr>
              <w:t>Appendix A – List of Specific Recipients</w:t>
            </w:r>
            <w:r>
              <w:rPr>
                <w:noProof/>
                <w:webHidden/>
              </w:rPr>
              <w:tab/>
            </w:r>
            <w:r>
              <w:rPr>
                <w:noProof/>
                <w:webHidden/>
              </w:rPr>
              <w:fldChar w:fldCharType="begin"/>
            </w:r>
            <w:r>
              <w:rPr>
                <w:noProof/>
                <w:webHidden/>
              </w:rPr>
              <w:instrText xml:space="preserve"> PAGEREF _Toc201927354 \h </w:instrText>
            </w:r>
            <w:r>
              <w:rPr>
                <w:noProof/>
                <w:webHidden/>
              </w:rPr>
            </w:r>
            <w:r>
              <w:rPr>
                <w:noProof/>
                <w:webHidden/>
              </w:rPr>
              <w:fldChar w:fldCharType="separate"/>
            </w:r>
            <w:r w:rsidR="00A83B45">
              <w:rPr>
                <w:noProof/>
                <w:webHidden/>
              </w:rPr>
              <w:t>14</w:t>
            </w:r>
            <w:r>
              <w:rPr>
                <w:noProof/>
                <w:webHidden/>
              </w:rPr>
              <w:fldChar w:fldCharType="end"/>
            </w:r>
          </w:hyperlink>
        </w:p>
        <w:p w14:paraId="7113A6B0" w14:textId="74C5D374" w:rsidR="00E12D45" w:rsidRDefault="00E12D45">
          <w:pPr>
            <w:pStyle w:val="TOC1"/>
            <w:tabs>
              <w:tab w:val="right" w:leader="dot" w:pos="9016"/>
            </w:tabs>
            <w:rPr>
              <w:rFonts w:eastAsiaTheme="minorEastAsia"/>
              <w:noProof/>
              <w:kern w:val="2"/>
              <w:szCs w:val="24"/>
              <w:lang w:eastAsia="en-GB"/>
              <w14:ligatures w14:val="standardContextual"/>
            </w:rPr>
          </w:pPr>
          <w:hyperlink w:anchor="_Toc201927355" w:history="1">
            <w:r w:rsidRPr="00F164E7">
              <w:rPr>
                <w:rStyle w:val="Hyperlink"/>
                <w:noProof/>
              </w:rPr>
              <w:t>Appendix B – Draft Reporting Forms and Guidance</w:t>
            </w:r>
            <w:r>
              <w:rPr>
                <w:noProof/>
                <w:webHidden/>
              </w:rPr>
              <w:tab/>
            </w:r>
            <w:r>
              <w:rPr>
                <w:noProof/>
                <w:webHidden/>
              </w:rPr>
              <w:fldChar w:fldCharType="begin"/>
            </w:r>
            <w:r>
              <w:rPr>
                <w:noProof/>
                <w:webHidden/>
              </w:rPr>
              <w:instrText xml:space="preserve"> PAGEREF _Toc201927355 \h </w:instrText>
            </w:r>
            <w:r>
              <w:rPr>
                <w:noProof/>
                <w:webHidden/>
              </w:rPr>
            </w:r>
            <w:r>
              <w:rPr>
                <w:noProof/>
                <w:webHidden/>
              </w:rPr>
              <w:fldChar w:fldCharType="separate"/>
            </w:r>
            <w:r w:rsidR="00A83B45">
              <w:rPr>
                <w:noProof/>
                <w:webHidden/>
              </w:rPr>
              <w:t>15</w:t>
            </w:r>
            <w:r>
              <w:rPr>
                <w:noProof/>
                <w:webHidden/>
              </w:rPr>
              <w:fldChar w:fldCharType="end"/>
            </w:r>
          </w:hyperlink>
        </w:p>
        <w:p w14:paraId="19EEAC92" w14:textId="0CA339B7"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56" w:history="1">
            <w:r w:rsidRPr="00F164E7">
              <w:rPr>
                <w:rStyle w:val="Hyperlink"/>
                <w:noProof/>
              </w:rPr>
              <w:t>1.</w:t>
            </w:r>
            <w:r>
              <w:rPr>
                <w:rFonts w:eastAsiaTheme="minorEastAsia"/>
                <w:noProof/>
                <w:kern w:val="2"/>
                <w:szCs w:val="24"/>
                <w:lang w:eastAsia="en-GB"/>
                <w14:ligatures w14:val="standardContextual"/>
              </w:rPr>
              <w:tab/>
            </w:r>
            <w:r w:rsidRPr="00F164E7">
              <w:rPr>
                <w:rStyle w:val="Hyperlink"/>
                <w:noProof/>
              </w:rPr>
              <w:t>Draft NSFR Reporting Form Template</w:t>
            </w:r>
            <w:r>
              <w:rPr>
                <w:noProof/>
                <w:webHidden/>
              </w:rPr>
              <w:tab/>
            </w:r>
            <w:r>
              <w:rPr>
                <w:noProof/>
                <w:webHidden/>
              </w:rPr>
              <w:fldChar w:fldCharType="begin"/>
            </w:r>
            <w:r>
              <w:rPr>
                <w:noProof/>
                <w:webHidden/>
              </w:rPr>
              <w:instrText xml:space="preserve"> PAGEREF _Toc201927356 \h </w:instrText>
            </w:r>
            <w:r>
              <w:rPr>
                <w:noProof/>
                <w:webHidden/>
              </w:rPr>
            </w:r>
            <w:r>
              <w:rPr>
                <w:noProof/>
                <w:webHidden/>
              </w:rPr>
              <w:fldChar w:fldCharType="separate"/>
            </w:r>
            <w:r w:rsidR="00A83B45">
              <w:rPr>
                <w:noProof/>
                <w:webHidden/>
              </w:rPr>
              <w:t>15</w:t>
            </w:r>
            <w:r>
              <w:rPr>
                <w:noProof/>
                <w:webHidden/>
              </w:rPr>
              <w:fldChar w:fldCharType="end"/>
            </w:r>
          </w:hyperlink>
        </w:p>
        <w:p w14:paraId="745F0F9D" w14:textId="0C0CF2BB" w:rsidR="00E12D45" w:rsidRDefault="00E12D45">
          <w:pPr>
            <w:pStyle w:val="TOC1"/>
            <w:tabs>
              <w:tab w:val="left" w:pos="480"/>
              <w:tab w:val="right" w:leader="dot" w:pos="9016"/>
            </w:tabs>
            <w:rPr>
              <w:rFonts w:eastAsiaTheme="minorEastAsia"/>
              <w:noProof/>
              <w:kern w:val="2"/>
              <w:szCs w:val="24"/>
              <w:lang w:eastAsia="en-GB"/>
              <w14:ligatures w14:val="standardContextual"/>
            </w:rPr>
          </w:pPr>
          <w:hyperlink w:anchor="_Toc201927357" w:history="1">
            <w:r w:rsidRPr="00F164E7">
              <w:rPr>
                <w:rStyle w:val="Hyperlink"/>
                <w:noProof/>
              </w:rPr>
              <w:t>2.</w:t>
            </w:r>
            <w:r>
              <w:rPr>
                <w:rFonts w:eastAsiaTheme="minorEastAsia"/>
                <w:noProof/>
                <w:kern w:val="2"/>
                <w:szCs w:val="24"/>
                <w:lang w:eastAsia="en-GB"/>
                <w14:ligatures w14:val="standardContextual"/>
              </w:rPr>
              <w:tab/>
            </w:r>
            <w:r w:rsidRPr="00F164E7">
              <w:rPr>
                <w:rStyle w:val="Hyperlink"/>
                <w:noProof/>
              </w:rPr>
              <w:t>Draft Guidance</w:t>
            </w:r>
            <w:r>
              <w:rPr>
                <w:noProof/>
                <w:webHidden/>
              </w:rPr>
              <w:tab/>
            </w:r>
            <w:r>
              <w:rPr>
                <w:noProof/>
                <w:webHidden/>
              </w:rPr>
              <w:fldChar w:fldCharType="begin"/>
            </w:r>
            <w:r>
              <w:rPr>
                <w:noProof/>
                <w:webHidden/>
              </w:rPr>
              <w:instrText xml:space="preserve"> PAGEREF _Toc201927357 \h </w:instrText>
            </w:r>
            <w:r>
              <w:rPr>
                <w:noProof/>
                <w:webHidden/>
              </w:rPr>
            </w:r>
            <w:r>
              <w:rPr>
                <w:noProof/>
                <w:webHidden/>
              </w:rPr>
              <w:fldChar w:fldCharType="separate"/>
            </w:r>
            <w:r w:rsidR="00A83B45">
              <w:rPr>
                <w:noProof/>
                <w:webHidden/>
              </w:rPr>
              <w:t>15</w:t>
            </w:r>
            <w:r>
              <w:rPr>
                <w:noProof/>
                <w:webHidden/>
              </w:rPr>
              <w:fldChar w:fldCharType="end"/>
            </w:r>
          </w:hyperlink>
        </w:p>
        <w:p w14:paraId="33C06643" w14:textId="7DE6EB2C" w:rsidR="0033123C" w:rsidRDefault="0033123C">
          <w:r>
            <w:rPr>
              <w:b/>
              <w:bCs/>
              <w:noProof/>
            </w:rPr>
            <w:fldChar w:fldCharType="end"/>
          </w:r>
        </w:p>
      </w:sdtContent>
    </w:sdt>
    <w:p w14:paraId="771FE48A" w14:textId="6B5F17F9" w:rsidR="003A6FA2" w:rsidRDefault="003A6FA2">
      <w:pPr>
        <w:spacing w:after="160"/>
        <w:rPr>
          <w:rFonts w:cs="Arial"/>
          <w:color w:val="000000"/>
          <w:szCs w:val="24"/>
        </w:rPr>
      </w:pPr>
      <w:r>
        <w:br w:type="page"/>
      </w:r>
    </w:p>
    <w:p w14:paraId="3A2791F6" w14:textId="77777777" w:rsidR="003405AF" w:rsidRDefault="003405AF" w:rsidP="003405AF">
      <w:pPr>
        <w:pStyle w:val="FSADocumentText"/>
      </w:pPr>
    </w:p>
    <w:p w14:paraId="10273B03" w14:textId="77777777" w:rsidR="001A15DB" w:rsidRDefault="001A15DB" w:rsidP="001A15DB">
      <w:pPr>
        <w:pStyle w:val="Heading1"/>
        <w:numPr>
          <w:ilvl w:val="0"/>
          <w:numId w:val="0"/>
        </w:numPr>
        <w:ind w:left="431" w:hanging="431"/>
        <w:rPr>
          <w:szCs w:val="24"/>
          <w:lang w:eastAsia="en-GB"/>
        </w:rPr>
      </w:pPr>
      <w:bookmarkStart w:id="0" w:name="_Toc23148303"/>
      <w:bookmarkStart w:id="1" w:name="_Toc201927329"/>
      <w:r w:rsidRPr="004128C4">
        <w:rPr>
          <w:szCs w:val="24"/>
          <w:lang w:eastAsia="en-GB"/>
        </w:rPr>
        <w:t>Glossary</w:t>
      </w:r>
      <w:bookmarkEnd w:id="0"/>
      <w:bookmarkEnd w:id="1"/>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ayout w:type="fixed"/>
        <w:tblLook w:val="04A0" w:firstRow="1" w:lastRow="0" w:firstColumn="1" w:lastColumn="0" w:noHBand="0" w:noVBand="1"/>
      </w:tblPr>
      <w:tblGrid>
        <w:gridCol w:w="2122"/>
        <w:gridCol w:w="6894"/>
      </w:tblGrid>
      <w:tr w:rsidR="001A15DB" w14:paraId="18CEF737" w14:textId="77777777" w:rsidTr="003A6FA2">
        <w:tc>
          <w:tcPr>
            <w:tcW w:w="1177" w:type="pct"/>
          </w:tcPr>
          <w:p w14:paraId="4C0FA5AD" w14:textId="62F5FD95" w:rsidR="001A15DB" w:rsidRPr="006F2A49" w:rsidRDefault="00BC7FAA" w:rsidP="00EF5994">
            <w:pPr>
              <w:rPr>
                <w:b/>
              </w:rPr>
            </w:pPr>
            <w:r>
              <w:rPr>
                <w:b/>
              </w:rPr>
              <w:t xml:space="preserve">(The) </w:t>
            </w:r>
            <w:r w:rsidR="001A15DB" w:rsidRPr="006F2A49">
              <w:rPr>
                <w:b/>
              </w:rPr>
              <w:t>Authority</w:t>
            </w:r>
          </w:p>
        </w:tc>
        <w:tc>
          <w:tcPr>
            <w:tcW w:w="3823" w:type="pct"/>
          </w:tcPr>
          <w:p w14:paraId="0F53B18C" w14:textId="77777777" w:rsidR="001A15DB" w:rsidRDefault="001A15DB" w:rsidP="00EF5994">
            <w:r>
              <w:t>Isle of Man Financial Services Authority</w:t>
            </w:r>
          </w:p>
        </w:tc>
      </w:tr>
      <w:tr w:rsidR="00D76513" w14:paraId="2744889F" w14:textId="77777777" w:rsidTr="003A6FA2">
        <w:tc>
          <w:tcPr>
            <w:tcW w:w="1177" w:type="pct"/>
          </w:tcPr>
          <w:p w14:paraId="7EF72FCB" w14:textId="7CBA98AA" w:rsidR="00D76513" w:rsidRPr="00111AC6" w:rsidRDefault="00D76513" w:rsidP="00D76513">
            <w:pPr>
              <w:rPr>
                <w:rFonts w:ascii="Calibri" w:hAnsi="Calibri" w:cs="Calibri"/>
                <w:b/>
                <w:bCs/>
                <w:szCs w:val="24"/>
              </w:rPr>
            </w:pPr>
            <w:r>
              <w:rPr>
                <w:rFonts w:ascii="Calibri" w:hAnsi="Calibri" w:cs="Calibri"/>
                <w:b/>
                <w:bCs/>
                <w:szCs w:val="24"/>
              </w:rPr>
              <w:t>Available Stable Funding (ASF)</w:t>
            </w:r>
          </w:p>
        </w:tc>
        <w:tc>
          <w:tcPr>
            <w:tcW w:w="3823" w:type="pct"/>
          </w:tcPr>
          <w:p w14:paraId="6BF1688B" w14:textId="47C6B182" w:rsidR="00D76513" w:rsidRPr="00D76513" w:rsidRDefault="00D76513" w:rsidP="00D76513">
            <w:pPr>
              <w:spacing w:after="240"/>
              <w:contextualSpacing/>
              <w:jc w:val="both"/>
              <w:rPr>
                <w:szCs w:val="24"/>
              </w:rPr>
            </w:pPr>
            <w:r>
              <w:rPr>
                <w:szCs w:val="24"/>
              </w:rPr>
              <w:t>T</w:t>
            </w:r>
            <w:r w:rsidRPr="005036A8">
              <w:rPr>
                <w:szCs w:val="24"/>
              </w:rPr>
              <w:t>he portion of capital and liabilities expected to be</w:t>
            </w:r>
            <w:r>
              <w:rPr>
                <w:szCs w:val="24"/>
              </w:rPr>
              <w:t xml:space="preserve"> </w:t>
            </w:r>
            <w:r w:rsidRPr="005036A8">
              <w:rPr>
                <w:szCs w:val="24"/>
              </w:rPr>
              <w:t>reliable over the one-year time horizon considered by the NSFR.</w:t>
            </w:r>
            <w:r w:rsidRPr="00D10460">
              <w:rPr>
                <w:szCs w:val="24"/>
                <w:highlight w:val="yellow"/>
              </w:rPr>
              <w:t xml:space="preserve"> </w:t>
            </w:r>
          </w:p>
        </w:tc>
      </w:tr>
      <w:tr w:rsidR="00D76513" w14:paraId="7FBD18D7" w14:textId="77777777" w:rsidTr="003A6FA2">
        <w:tc>
          <w:tcPr>
            <w:tcW w:w="1177" w:type="pct"/>
          </w:tcPr>
          <w:p w14:paraId="0C3A9BAE" w14:textId="77777777" w:rsidR="00D76513" w:rsidRPr="00111AC6" w:rsidRDefault="00D76513" w:rsidP="00D76513">
            <w:pPr>
              <w:contextualSpacing/>
              <w:rPr>
                <w:rFonts w:ascii="Calibri" w:hAnsi="Calibri" w:cs="Calibri"/>
                <w:b/>
                <w:bCs/>
                <w:szCs w:val="24"/>
              </w:rPr>
            </w:pPr>
            <w:r w:rsidRPr="00111AC6">
              <w:rPr>
                <w:rFonts w:ascii="Calibri" w:hAnsi="Calibri" w:cs="Calibri"/>
                <w:b/>
                <w:bCs/>
                <w:szCs w:val="24"/>
              </w:rPr>
              <w:t>Bank / reporting bank</w:t>
            </w:r>
          </w:p>
          <w:p w14:paraId="02BFDF00" w14:textId="77777777" w:rsidR="00D76513" w:rsidRDefault="00D76513" w:rsidP="00D76513">
            <w:pPr>
              <w:rPr>
                <w:rFonts w:ascii="Calibri" w:hAnsi="Calibri" w:cs="Calibri"/>
                <w:b/>
                <w:bCs/>
                <w:szCs w:val="24"/>
              </w:rPr>
            </w:pPr>
          </w:p>
        </w:tc>
        <w:tc>
          <w:tcPr>
            <w:tcW w:w="3823" w:type="pct"/>
          </w:tcPr>
          <w:p w14:paraId="15DAA372" w14:textId="6E859576" w:rsidR="00D76513" w:rsidRDefault="00D76513" w:rsidP="00D76513">
            <w:pPr>
              <w:spacing w:after="240"/>
              <w:contextualSpacing/>
              <w:jc w:val="both"/>
              <w:rPr>
                <w:szCs w:val="24"/>
              </w:rPr>
            </w:pPr>
            <w:r>
              <w:rPr>
                <w:rFonts w:ascii="Calibri" w:hAnsi="Calibri" w:cs="Calibri"/>
                <w:szCs w:val="24"/>
              </w:rPr>
              <w:t>I</w:t>
            </w:r>
            <w:r w:rsidRPr="00740E48">
              <w:rPr>
                <w:rFonts w:ascii="Calibri" w:hAnsi="Calibri" w:cs="Calibri"/>
                <w:szCs w:val="24"/>
              </w:rPr>
              <w:t>n th</w:t>
            </w:r>
            <w:r>
              <w:rPr>
                <w:rFonts w:ascii="Calibri" w:hAnsi="Calibri" w:cs="Calibri"/>
                <w:szCs w:val="24"/>
              </w:rPr>
              <w:t>e</w:t>
            </w:r>
            <w:r w:rsidRPr="00740E48">
              <w:rPr>
                <w:rFonts w:ascii="Calibri" w:hAnsi="Calibri" w:cs="Calibri"/>
                <w:szCs w:val="24"/>
              </w:rPr>
              <w:t xml:space="preserve"> context</w:t>
            </w:r>
            <w:r>
              <w:rPr>
                <w:rFonts w:ascii="Calibri" w:hAnsi="Calibri" w:cs="Calibri"/>
                <w:szCs w:val="24"/>
              </w:rPr>
              <w:t xml:space="preserve"> of the NSFR Reporting Form t</w:t>
            </w:r>
            <w:r w:rsidRPr="00740E48">
              <w:rPr>
                <w:rFonts w:ascii="Calibri" w:hAnsi="Calibri" w:cs="Calibri"/>
                <w:szCs w:val="24"/>
              </w:rPr>
              <w:t xml:space="preserve">his is the </w:t>
            </w:r>
            <w:r>
              <w:rPr>
                <w:rFonts w:ascii="Calibri" w:hAnsi="Calibri" w:cs="Calibri"/>
                <w:szCs w:val="24"/>
              </w:rPr>
              <w:t xml:space="preserve">Isle of Man incorporated </w:t>
            </w:r>
            <w:r w:rsidRPr="00740E48">
              <w:rPr>
                <w:rFonts w:ascii="Calibri" w:hAnsi="Calibri" w:cs="Calibri"/>
                <w:szCs w:val="24"/>
              </w:rPr>
              <w:t xml:space="preserve">entity that has been issued with a </w:t>
            </w:r>
            <w:r>
              <w:rPr>
                <w:rFonts w:ascii="Calibri" w:hAnsi="Calibri" w:cs="Calibri"/>
                <w:szCs w:val="24"/>
              </w:rPr>
              <w:t>C</w:t>
            </w:r>
            <w:r w:rsidRPr="00740E48">
              <w:rPr>
                <w:rFonts w:ascii="Calibri" w:hAnsi="Calibri" w:cs="Calibri"/>
                <w:szCs w:val="24"/>
              </w:rPr>
              <w:t xml:space="preserve">lass 1(1) or </w:t>
            </w:r>
            <w:r>
              <w:rPr>
                <w:rFonts w:ascii="Calibri" w:hAnsi="Calibri" w:cs="Calibri"/>
                <w:szCs w:val="24"/>
              </w:rPr>
              <w:t>C</w:t>
            </w:r>
            <w:r w:rsidRPr="00740E48">
              <w:rPr>
                <w:rFonts w:ascii="Calibri" w:hAnsi="Calibri" w:cs="Calibri"/>
                <w:szCs w:val="24"/>
              </w:rPr>
              <w:t>lass 1(2)</w:t>
            </w:r>
            <w:r>
              <w:rPr>
                <w:rFonts w:ascii="Calibri" w:hAnsi="Calibri" w:cs="Calibri"/>
                <w:szCs w:val="24"/>
              </w:rPr>
              <w:t xml:space="preserve"> (Deposit Taking)</w:t>
            </w:r>
            <w:r w:rsidRPr="00740E48">
              <w:rPr>
                <w:rFonts w:ascii="Calibri" w:hAnsi="Calibri" w:cs="Calibri"/>
                <w:szCs w:val="24"/>
              </w:rPr>
              <w:t xml:space="preserve"> licence under the Financial Services Act 2008</w:t>
            </w:r>
            <w:r>
              <w:rPr>
                <w:rFonts w:ascii="Calibri" w:hAnsi="Calibri" w:cs="Calibri"/>
                <w:szCs w:val="24"/>
              </w:rPr>
              <w:t xml:space="preserve"> and includes branches of that entity</w:t>
            </w:r>
            <w:r w:rsidRPr="00740E48">
              <w:rPr>
                <w:rFonts w:ascii="Calibri" w:hAnsi="Calibri" w:cs="Calibri"/>
                <w:szCs w:val="24"/>
              </w:rPr>
              <w:t>.</w:t>
            </w:r>
          </w:p>
        </w:tc>
      </w:tr>
      <w:tr w:rsidR="003A6FA2" w14:paraId="63F8E0F0" w14:textId="77777777" w:rsidTr="003A6FA2">
        <w:tc>
          <w:tcPr>
            <w:tcW w:w="1177" w:type="pct"/>
          </w:tcPr>
          <w:p w14:paraId="66D75B3F" w14:textId="23E6E67F" w:rsidR="003A6FA2" w:rsidRPr="006F2A49" w:rsidRDefault="003A6FA2" w:rsidP="003A6FA2">
            <w:pPr>
              <w:rPr>
                <w:b/>
              </w:rPr>
            </w:pPr>
            <w:r w:rsidRPr="00111AC6">
              <w:rPr>
                <w:rFonts w:ascii="Calibri" w:hAnsi="Calibri" w:cs="Calibri"/>
                <w:b/>
                <w:bCs/>
                <w:szCs w:val="24"/>
              </w:rPr>
              <w:t xml:space="preserve">Basel </w:t>
            </w:r>
            <w:r w:rsidRPr="003A6FA2">
              <w:rPr>
                <w:rFonts w:ascii="Calibri" w:hAnsi="Calibri" w:cs="Calibri"/>
                <w:b/>
                <w:bCs/>
                <w:szCs w:val="24"/>
              </w:rPr>
              <w:t xml:space="preserve">Committee </w:t>
            </w:r>
          </w:p>
        </w:tc>
        <w:tc>
          <w:tcPr>
            <w:tcW w:w="3823" w:type="pct"/>
          </w:tcPr>
          <w:p w14:paraId="6ED45CCC" w14:textId="7C2539FD" w:rsidR="003A6FA2" w:rsidRDefault="003A6FA2" w:rsidP="003A6FA2">
            <w:pPr>
              <w:jc w:val="both"/>
            </w:pPr>
            <w:r w:rsidRPr="003A6FA2">
              <w:rPr>
                <w:rFonts w:ascii="Calibri" w:hAnsi="Calibri" w:cs="Calibri"/>
                <w:szCs w:val="24"/>
              </w:rPr>
              <w:t>The Basel</w:t>
            </w:r>
            <w:r w:rsidRPr="00111AC6">
              <w:rPr>
                <w:rFonts w:ascii="Calibri" w:hAnsi="Calibri" w:cs="Calibri"/>
                <w:b/>
                <w:bCs/>
                <w:szCs w:val="24"/>
              </w:rPr>
              <w:t xml:space="preserve"> </w:t>
            </w:r>
            <w:r w:rsidRPr="003A6FA2">
              <w:rPr>
                <w:rFonts w:ascii="Calibri" w:hAnsi="Calibri" w:cs="Calibri"/>
                <w:szCs w:val="24"/>
              </w:rPr>
              <w:t>Committee on Banking Supervision (</w:t>
            </w:r>
            <w:r w:rsidR="00C65635">
              <w:rPr>
                <w:rFonts w:ascii="Calibri" w:hAnsi="Calibri" w:cs="Calibri"/>
                <w:szCs w:val="24"/>
              </w:rPr>
              <w:t>“</w:t>
            </w:r>
            <w:r w:rsidRPr="003A6FA2">
              <w:rPr>
                <w:rFonts w:ascii="Calibri" w:hAnsi="Calibri" w:cs="Calibri"/>
                <w:szCs w:val="24"/>
              </w:rPr>
              <w:t>BCBS</w:t>
            </w:r>
            <w:r w:rsidR="00C65635">
              <w:rPr>
                <w:rFonts w:ascii="Calibri" w:hAnsi="Calibri" w:cs="Calibri"/>
                <w:szCs w:val="24"/>
              </w:rPr>
              <w:t>”</w:t>
            </w:r>
            <w:r w:rsidRPr="003A6FA2">
              <w:rPr>
                <w:rFonts w:ascii="Calibri" w:hAnsi="Calibri" w:cs="Calibri"/>
                <w:szCs w:val="24"/>
              </w:rPr>
              <w:t>)</w:t>
            </w:r>
            <w:r>
              <w:rPr>
                <w:rFonts w:ascii="Calibri" w:hAnsi="Calibri" w:cs="Calibri"/>
                <w:szCs w:val="24"/>
              </w:rPr>
              <w:t xml:space="preserve"> being t</w:t>
            </w:r>
            <w:r w:rsidRPr="00AB081A">
              <w:rPr>
                <w:rFonts w:ascii="Calibri" w:hAnsi="Calibri" w:cs="Calibri"/>
                <w:szCs w:val="24"/>
              </w:rPr>
              <w:t>he primary global standard setter for the prudential regulation of banks</w:t>
            </w:r>
            <w:r w:rsidR="00C65635">
              <w:rPr>
                <w:rFonts w:ascii="Calibri" w:hAnsi="Calibri" w:cs="Calibri"/>
                <w:szCs w:val="24"/>
              </w:rPr>
              <w:t>, which</w:t>
            </w:r>
            <w:r w:rsidRPr="00AB081A">
              <w:rPr>
                <w:rFonts w:ascii="Calibri" w:hAnsi="Calibri" w:cs="Calibri"/>
                <w:szCs w:val="24"/>
              </w:rPr>
              <w:t xml:space="preserve"> provides a forum for regular cooperation on banking supervisory matters.</w:t>
            </w:r>
          </w:p>
        </w:tc>
      </w:tr>
      <w:tr w:rsidR="001A15DB" w14:paraId="01101922" w14:textId="77777777" w:rsidTr="003A6FA2">
        <w:tc>
          <w:tcPr>
            <w:tcW w:w="1177" w:type="pct"/>
          </w:tcPr>
          <w:p w14:paraId="56EECB07" w14:textId="45D98EFD" w:rsidR="001A15DB" w:rsidRPr="00A70D04" w:rsidRDefault="00EF5994" w:rsidP="00EF5994">
            <w:pPr>
              <w:rPr>
                <w:b/>
              </w:rPr>
            </w:pPr>
            <w:r w:rsidRPr="00A70D04">
              <w:rPr>
                <w:b/>
              </w:rPr>
              <w:t>FSA08</w:t>
            </w:r>
          </w:p>
        </w:tc>
        <w:tc>
          <w:tcPr>
            <w:tcW w:w="3823" w:type="pct"/>
          </w:tcPr>
          <w:p w14:paraId="21EFA16A" w14:textId="590B708F" w:rsidR="001A15DB" w:rsidRPr="00A70D04" w:rsidRDefault="00EF5994" w:rsidP="00EF5994">
            <w:r w:rsidRPr="00A70D04">
              <w:t>Isle of Man Financial Services Act 2008</w:t>
            </w:r>
          </w:p>
        </w:tc>
      </w:tr>
      <w:tr w:rsidR="0034243A" w14:paraId="11103247" w14:textId="77777777" w:rsidTr="003A6FA2">
        <w:tc>
          <w:tcPr>
            <w:tcW w:w="1177" w:type="pct"/>
          </w:tcPr>
          <w:p w14:paraId="1A14B24B" w14:textId="132579D8" w:rsidR="0034243A" w:rsidRPr="00A70D04" w:rsidRDefault="0034243A" w:rsidP="00EF5994">
            <w:pPr>
              <w:rPr>
                <w:b/>
              </w:rPr>
            </w:pPr>
            <w:r w:rsidRPr="00121CEA">
              <w:rPr>
                <w:rFonts w:ascii="Calibri" w:hAnsi="Calibri" w:cs="Calibri"/>
                <w:b/>
                <w:bCs/>
                <w:szCs w:val="24"/>
              </w:rPr>
              <w:t>Liquidity Coverage Ratio (“LCR”)</w:t>
            </w:r>
          </w:p>
        </w:tc>
        <w:tc>
          <w:tcPr>
            <w:tcW w:w="3823" w:type="pct"/>
          </w:tcPr>
          <w:p w14:paraId="2708A0DE" w14:textId="1BEE5764" w:rsidR="00121CEA" w:rsidRPr="00A70D04" w:rsidRDefault="00121CEA" w:rsidP="00121CEA">
            <w:pPr>
              <w:jc w:val="both"/>
            </w:pPr>
            <w:r w:rsidRPr="00121CEA">
              <w:t>The LCR, developed by the Basel Committee, is one of the minimum standards for funding liquidity with the specific purpose of promoting short-term resilience of a bank’s liquidity risk profile by ensuring that it has sufficient high-quality liquid assets (“HQLA”) to survive a significant stress scenario lasting for one month.</w:t>
            </w:r>
            <w:r>
              <w:t xml:space="preserve">  See </w:t>
            </w:r>
            <w:hyperlink r:id="rId13" w:history="1">
              <w:r w:rsidRPr="00121CEA">
                <w:rPr>
                  <w:rStyle w:val="Hyperlink"/>
                  <w:b/>
                  <w:bCs/>
                </w:rPr>
                <w:t>DP25-01</w:t>
              </w:r>
            </w:hyperlink>
            <w:r>
              <w:t xml:space="preserve"> for further information.</w:t>
            </w:r>
          </w:p>
        </w:tc>
      </w:tr>
      <w:tr w:rsidR="003A6FA2" w14:paraId="143A4826" w14:textId="77777777" w:rsidTr="003A6FA2">
        <w:tc>
          <w:tcPr>
            <w:tcW w:w="1177" w:type="pct"/>
          </w:tcPr>
          <w:p w14:paraId="4A69165F" w14:textId="0738FFCD" w:rsidR="003A6FA2" w:rsidRPr="00AF630D" w:rsidRDefault="003A6FA2" w:rsidP="003A6FA2">
            <w:pPr>
              <w:contextualSpacing/>
              <w:rPr>
                <w:rFonts w:ascii="Calibri" w:hAnsi="Calibri" w:cs="Calibri"/>
                <w:b/>
                <w:bCs/>
                <w:szCs w:val="24"/>
              </w:rPr>
            </w:pPr>
            <w:r w:rsidRPr="00AF630D">
              <w:rPr>
                <w:rFonts w:ascii="Calibri" w:hAnsi="Calibri" w:cs="Calibri"/>
                <w:b/>
                <w:bCs/>
                <w:szCs w:val="24"/>
              </w:rPr>
              <w:t>Multilateral Development Bank (</w:t>
            </w:r>
            <w:r w:rsidR="007117E7" w:rsidRPr="00AF630D">
              <w:rPr>
                <w:rFonts w:ascii="Calibri" w:hAnsi="Calibri" w:cs="Calibri"/>
                <w:b/>
                <w:bCs/>
                <w:szCs w:val="24"/>
              </w:rPr>
              <w:t>“</w:t>
            </w:r>
            <w:r w:rsidRPr="00AF630D">
              <w:rPr>
                <w:rFonts w:ascii="Calibri" w:hAnsi="Calibri" w:cs="Calibri"/>
                <w:b/>
                <w:bCs/>
                <w:szCs w:val="24"/>
              </w:rPr>
              <w:t>MDB</w:t>
            </w:r>
            <w:r w:rsidR="007117E7" w:rsidRPr="00AF630D">
              <w:rPr>
                <w:rFonts w:ascii="Calibri" w:hAnsi="Calibri" w:cs="Calibri"/>
                <w:b/>
                <w:bCs/>
                <w:szCs w:val="24"/>
              </w:rPr>
              <w:t>”</w:t>
            </w:r>
            <w:r w:rsidRPr="00AF630D">
              <w:rPr>
                <w:rFonts w:ascii="Calibri" w:hAnsi="Calibri" w:cs="Calibri"/>
                <w:b/>
                <w:bCs/>
                <w:szCs w:val="24"/>
              </w:rPr>
              <w:t>)</w:t>
            </w:r>
          </w:p>
          <w:p w14:paraId="2356209E" w14:textId="77777777" w:rsidR="003A6FA2" w:rsidRPr="00AF630D" w:rsidRDefault="003A6FA2" w:rsidP="003A6FA2">
            <w:pPr>
              <w:contextualSpacing/>
              <w:rPr>
                <w:rFonts w:ascii="Calibri" w:hAnsi="Calibri" w:cs="Calibri"/>
                <w:b/>
                <w:bCs/>
                <w:szCs w:val="24"/>
              </w:rPr>
            </w:pPr>
          </w:p>
        </w:tc>
        <w:tc>
          <w:tcPr>
            <w:tcW w:w="3823" w:type="pct"/>
          </w:tcPr>
          <w:p w14:paraId="3A2E1076" w14:textId="522B1AB0" w:rsidR="003A6FA2" w:rsidRPr="00AF630D" w:rsidRDefault="003A6FA2" w:rsidP="003A6FA2">
            <w:pPr>
              <w:contextualSpacing/>
              <w:jc w:val="both"/>
              <w:rPr>
                <w:rFonts w:ascii="Calibri" w:hAnsi="Calibri" w:cs="Calibri"/>
                <w:szCs w:val="24"/>
              </w:rPr>
            </w:pPr>
            <w:r w:rsidRPr="00AF630D">
              <w:rPr>
                <w:rFonts w:ascii="Calibri" w:hAnsi="Calibri" w:cs="Calibri"/>
                <w:szCs w:val="24"/>
              </w:rPr>
              <w:t>An institution created by a group of countries that provides financing and professional advice for economic and social development projects. MDBs have large sovereign membership and may include both developed and/or developing countries. Each MDB has its own independent legal and operational status, but with a similar mandate and a considerable number of joint owners.</w:t>
            </w:r>
          </w:p>
        </w:tc>
      </w:tr>
      <w:tr w:rsidR="009558A3" w14:paraId="2F13DBA2" w14:textId="77777777" w:rsidTr="003A6FA2">
        <w:tc>
          <w:tcPr>
            <w:tcW w:w="1177" w:type="pct"/>
          </w:tcPr>
          <w:p w14:paraId="2F81D3A8" w14:textId="25729914" w:rsidR="009558A3" w:rsidRPr="00111AC6" w:rsidRDefault="009558A3" w:rsidP="003A6FA2">
            <w:pPr>
              <w:contextualSpacing/>
              <w:rPr>
                <w:rFonts w:ascii="Calibri" w:hAnsi="Calibri" w:cs="Calibri"/>
                <w:b/>
                <w:bCs/>
                <w:szCs w:val="24"/>
              </w:rPr>
            </w:pPr>
            <w:r>
              <w:rPr>
                <w:rFonts w:ascii="Calibri" w:hAnsi="Calibri" w:cs="Calibri"/>
                <w:b/>
                <w:bCs/>
                <w:szCs w:val="24"/>
              </w:rPr>
              <w:t>Net Stable Funding Ratio (“NSFR”)</w:t>
            </w:r>
          </w:p>
        </w:tc>
        <w:tc>
          <w:tcPr>
            <w:tcW w:w="3823" w:type="pct"/>
          </w:tcPr>
          <w:p w14:paraId="22A1AA6D" w14:textId="41CD028D" w:rsidR="009558A3" w:rsidRPr="00D76513" w:rsidRDefault="009558A3" w:rsidP="003A6FA2">
            <w:pPr>
              <w:contextualSpacing/>
              <w:jc w:val="both"/>
              <w:rPr>
                <w:szCs w:val="24"/>
              </w:rPr>
            </w:pPr>
            <w:r>
              <w:rPr>
                <w:rFonts w:ascii="Calibri" w:hAnsi="Calibri" w:cs="Calibri"/>
                <w:szCs w:val="24"/>
              </w:rPr>
              <w:t>A measure developed by t</w:t>
            </w:r>
            <w:r w:rsidRPr="009558A3">
              <w:rPr>
                <w:rFonts w:ascii="Calibri" w:hAnsi="Calibri" w:cs="Calibri"/>
                <w:szCs w:val="24"/>
              </w:rPr>
              <w:t>he Basel Committee to promote resilience over a longer time horizon of one year.</w:t>
            </w:r>
            <w:r w:rsidR="00D76513">
              <w:rPr>
                <w:rFonts w:ascii="Calibri" w:hAnsi="Calibri" w:cs="Calibri"/>
                <w:szCs w:val="24"/>
              </w:rPr>
              <w:t xml:space="preserve">  </w:t>
            </w:r>
            <w:r w:rsidR="00D76513">
              <w:rPr>
                <w:szCs w:val="24"/>
              </w:rPr>
              <w:t>T</w:t>
            </w:r>
            <w:r w:rsidR="00D76513" w:rsidRPr="005036A8">
              <w:rPr>
                <w:szCs w:val="24"/>
              </w:rPr>
              <w:t>he amount of available stable funding relative to the amount of</w:t>
            </w:r>
            <w:r w:rsidR="00D76513">
              <w:rPr>
                <w:szCs w:val="24"/>
              </w:rPr>
              <w:t xml:space="preserve"> </w:t>
            </w:r>
            <w:r w:rsidR="00D76513" w:rsidRPr="005036A8">
              <w:rPr>
                <w:szCs w:val="24"/>
              </w:rPr>
              <w:t>required stable funding</w:t>
            </w:r>
            <w:r w:rsidR="00D76513">
              <w:rPr>
                <w:szCs w:val="24"/>
              </w:rPr>
              <w:t>.</w:t>
            </w:r>
          </w:p>
        </w:tc>
      </w:tr>
      <w:tr w:rsidR="00D76513" w14:paraId="06C5DEC7" w14:textId="77777777" w:rsidTr="003A6FA2">
        <w:tc>
          <w:tcPr>
            <w:tcW w:w="1177" w:type="pct"/>
          </w:tcPr>
          <w:p w14:paraId="3007BBEA" w14:textId="3FC29D64" w:rsidR="00D76513" w:rsidRDefault="00D76513" w:rsidP="00D76513">
            <w:pPr>
              <w:contextualSpacing/>
              <w:rPr>
                <w:rFonts w:ascii="Calibri" w:hAnsi="Calibri" w:cs="Calibri"/>
                <w:b/>
                <w:bCs/>
                <w:szCs w:val="24"/>
              </w:rPr>
            </w:pPr>
            <w:r w:rsidRPr="00F139D8">
              <w:rPr>
                <w:rFonts w:ascii="Calibri" w:hAnsi="Calibri" w:cs="Calibri"/>
                <w:b/>
                <w:bCs/>
                <w:szCs w:val="24"/>
              </w:rPr>
              <w:t>NSFR Standard</w:t>
            </w:r>
          </w:p>
        </w:tc>
        <w:tc>
          <w:tcPr>
            <w:tcW w:w="3823" w:type="pct"/>
          </w:tcPr>
          <w:p w14:paraId="281CDC79" w14:textId="77777777" w:rsidR="00D76513" w:rsidRPr="00F139D8" w:rsidRDefault="00D76513" w:rsidP="00D76513">
            <w:pPr>
              <w:contextualSpacing/>
              <w:jc w:val="both"/>
              <w:rPr>
                <w:rFonts w:ascii="Calibri" w:hAnsi="Calibri" w:cs="Calibri"/>
                <w:szCs w:val="24"/>
              </w:rPr>
            </w:pPr>
            <w:r w:rsidRPr="00F139D8">
              <w:rPr>
                <w:rFonts w:ascii="Calibri" w:hAnsi="Calibri" w:cs="Calibri"/>
                <w:szCs w:val="24"/>
              </w:rPr>
              <w:t>The Net Stable Funding Ratio Standard, also referred to as the NSFR Standard, means the NSFR Standard as it was incorporated into the consolidated Basel Framework and which contains frequently asked questions and responses, effective 15 December 2019.</w:t>
            </w:r>
          </w:p>
          <w:p w14:paraId="7642CAF2" w14:textId="77777777" w:rsidR="00D76513" w:rsidRPr="00F139D8" w:rsidRDefault="00D76513" w:rsidP="00D76513">
            <w:pPr>
              <w:contextualSpacing/>
              <w:jc w:val="both"/>
              <w:rPr>
                <w:rFonts w:ascii="Calibri" w:hAnsi="Calibri" w:cs="Calibri"/>
                <w:szCs w:val="24"/>
              </w:rPr>
            </w:pPr>
          </w:p>
          <w:p w14:paraId="7B70A092" w14:textId="77777777" w:rsidR="00D76513" w:rsidRDefault="00D76513" w:rsidP="00D76513">
            <w:pPr>
              <w:contextualSpacing/>
            </w:pPr>
            <w:r w:rsidRPr="00F139D8">
              <w:rPr>
                <w:rFonts w:ascii="Calibri" w:hAnsi="Calibri" w:cs="Calibri"/>
                <w:szCs w:val="24"/>
              </w:rPr>
              <w:t>The NSFR Standard can be found at</w:t>
            </w:r>
            <w:r>
              <w:rPr>
                <w:rFonts w:ascii="Calibri" w:hAnsi="Calibri" w:cs="Calibri"/>
                <w:szCs w:val="24"/>
              </w:rPr>
              <w:t>:</w:t>
            </w:r>
            <w:r w:rsidRPr="00F139D8">
              <w:rPr>
                <w:rFonts w:ascii="Calibri" w:hAnsi="Calibri" w:cs="Calibri"/>
                <w:szCs w:val="24"/>
              </w:rPr>
              <w:t xml:space="preserve"> </w:t>
            </w:r>
            <w:hyperlink r:id="rId14" w:history="1">
              <w:r w:rsidRPr="004A2A15">
                <w:rPr>
                  <w:rStyle w:val="Hyperlink"/>
                </w:rPr>
                <w:t>https://www.bis.org/basel_framework/standard/NSF.htm</w:t>
              </w:r>
            </w:hyperlink>
          </w:p>
          <w:p w14:paraId="33C0CEAF" w14:textId="77777777" w:rsidR="00D76513" w:rsidRDefault="00D76513" w:rsidP="00D76513">
            <w:pPr>
              <w:contextualSpacing/>
              <w:jc w:val="both"/>
              <w:rPr>
                <w:rFonts w:ascii="Calibri" w:hAnsi="Calibri" w:cs="Calibri"/>
                <w:szCs w:val="24"/>
              </w:rPr>
            </w:pPr>
          </w:p>
        </w:tc>
      </w:tr>
      <w:tr w:rsidR="00D76513" w14:paraId="4F983150" w14:textId="77777777" w:rsidTr="003A6FA2">
        <w:tc>
          <w:tcPr>
            <w:tcW w:w="1177" w:type="pct"/>
          </w:tcPr>
          <w:p w14:paraId="1C6F1DF4" w14:textId="05EF5D25" w:rsidR="00D76513" w:rsidRDefault="00D76513" w:rsidP="00D76513">
            <w:pPr>
              <w:contextualSpacing/>
              <w:rPr>
                <w:rFonts w:ascii="Calibri" w:hAnsi="Calibri" w:cs="Calibri"/>
                <w:b/>
                <w:bCs/>
                <w:szCs w:val="24"/>
              </w:rPr>
            </w:pPr>
            <w:r>
              <w:rPr>
                <w:rFonts w:ascii="Calibri" w:hAnsi="Calibri" w:cs="Calibri"/>
                <w:b/>
                <w:bCs/>
                <w:szCs w:val="24"/>
              </w:rPr>
              <w:t>Required Stable Funding (RSF)</w:t>
            </w:r>
          </w:p>
        </w:tc>
        <w:tc>
          <w:tcPr>
            <w:tcW w:w="3823" w:type="pct"/>
          </w:tcPr>
          <w:p w14:paraId="6DDCEDB5" w14:textId="4AD4FAE1" w:rsidR="00D76513" w:rsidRDefault="00D76513" w:rsidP="00D76513">
            <w:pPr>
              <w:contextualSpacing/>
              <w:jc w:val="both"/>
              <w:rPr>
                <w:rFonts w:ascii="Calibri" w:hAnsi="Calibri" w:cs="Calibri"/>
                <w:szCs w:val="24"/>
              </w:rPr>
            </w:pPr>
            <w:r w:rsidRPr="005036A8">
              <w:rPr>
                <w:szCs w:val="24"/>
              </w:rPr>
              <w:t>The amount of stable</w:t>
            </w:r>
            <w:r>
              <w:rPr>
                <w:szCs w:val="24"/>
              </w:rPr>
              <w:t xml:space="preserve"> </w:t>
            </w:r>
            <w:r w:rsidRPr="005036A8">
              <w:rPr>
                <w:szCs w:val="24"/>
              </w:rPr>
              <w:t>funding required</w:t>
            </w:r>
            <w:r>
              <w:rPr>
                <w:szCs w:val="24"/>
              </w:rPr>
              <w:t xml:space="preserve">, being </w:t>
            </w:r>
            <w:r w:rsidRPr="005036A8">
              <w:rPr>
                <w:szCs w:val="24"/>
              </w:rPr>
              <w:t>a function of the liquidity</w:t>
            </w:r>
            <w:r>
              <w:rPr>
                <w:szCs w:val="24"/>
              </w:rPr>
              <w:t xml:space="preserve"> </w:t>
            </w:r>
            <w:r w:rsidRPr="005036A8">
              <w:rPr>
                <w:szCs w:val="24"/>
              </w:rPr>
              <w:t xml:space="preserve">characteristics and residual maturities of the various assets held by </w:t>
            </w:r>
            <w:r>
              <w:rPr>
                <w:szCs w:val="24"/>
              </w:rPr>
              <w:t xml:space="preserve">a bank </w:t>
            </w:r>
            <w:r w:rsidRPr="005036A8">
              <w:rPr>
                <w:szCs w:val="24"/>
              </w:rPr>
              <w:t>as well</w:t>
            </w:r>
            <w:r>
              <w:rPr>
                <w:szCs w:val="24"/>
              </w:rPr>
              <w:t xml:space="preserve"> </w:t>
            </w:r>
            <w:r w:rsidRPr="005036A8">
              <w:rPr>
                <w:szCs w:val="24"/>
              </w:rPr>
              <w:t>as those of its off-balance sheet exposures.</w:t>
            </w:r>
            <w:r w:rsidRPr="00D10460">
              <w:rPr>
                <w:szCs w:val="24"/>
              </w:rPr>
              <w:t xml:space="preserve"> </w:t>
            </w:r>
          </w:p>
        </w:tc>
      </w:tr>
    </w:tbl>
    <w:p w14:paraId="32406B19" w14:textId="77777777" w:rsidR="00F37485" w:rsidRDefault="00931F65" w:rsidP="00931F65">
      <w:pPr>
        <w:spacing w:after="160"/>
        <w:rPr>
          <w:sz w:val="16"/>
          <w:szCs w:val="16"/>
          <w:u w:val="single"/>
        </w:rPr>
      </w:pPr>
      <w:r>
        <w:rPr>
          <w:sz w:val="16"/>
          <w:szCs w:val="16"/>
          <w:u w:val="single"/>
        </w:rPr>
        <w:br w:type="page"/>
      </w:r>
    </w:p>
    <w:p w14:paraId="5A5BCEA6" w14:textId="1C99A41B" w:rsidR="00863EDD" w:rsidRDefault="00863EDD" w:rsidP="002C7A1F">
      <w:pPr>
        <w:pStyle w:val="Heading1"/>
        <w:numPr>
          <w:ilvl w:val="0"/>
          <w:numId w:val="19"/>
        </w:numPr>
      </w:pPr>
      <w:bookmarkStart w:id="2" w:name="_Toc201927330"/>
      <w:r w:rsidRPr="00ED1FC4">
        <w:lastRenderedPageBreak/>
        <w:t>Executive Summary</w:t>
      </w:r>
      <w:bookmarkEnd w:id="2"/>
    </w:p>
    <w:p w14:paraId="20581326" w14:textId="504C612F" w:rsidR="00FF7A3A" w:rsidRDefault="00FF7A3A" w:rsidP="00CA2A69">
      <w:pPr>
        <w:pStyle w:val="Heading2"/>
      </w:pPr>
      <w:bookmarkStart w:id="3" w:name="_Toc201927331"/>
      <w:r>
        <w:t>Overview</w:t>
      </w:r>
      <w:bookmarkEnd w:id="3"/>
    </w:p>
    <w:p w14:paraId="1CCD8938" w14:textId="5930400E" w:rsidR="00702C98" w:rsidRDefault="00702C98" w:rsidP="00C72B56">
      <w:pPr>
        <w:pStyle w:val="FSADocumentText"/>
      </w:pPr>
      <w:r w:rsidRPr="00863EDD">
        <w:t xml:space="preserve">This </w:t>
      </w:r>
      <w:r>
        <w:t>Discussion</w:t>
      </w:r>
      <w:r w:rsidRPr="00863EDD">
        <w:t xml:space="preserve"> Paper </w:t>
      </w:r>
      <w:r w:rsidR="00C65635">
        <w:t>(“Paper”</w:t>
      </w:r>
      <w:r>
        <w:t xml:space="preserve">) </w:t>
      </w:r>
      <w:r w:rsidRPr="00863EDD">
        <w:t>is issued by the Isle of Man Financial Services Authority, which is the regulatory body for financial services in the Isle of Man.</w:t>
      </w:r>
    </w:p>
    <w:p w14:paraId="56B7899F" w14:textId="77777777" w:rsidR="0062682F" w:rsidRDefault="0062682F" w:rsidP="00C72B56">
      <w:pPr>
        <w:pStyle w:val="FSADocumentText"/>
      </w:pPr>
    </w:p>
    <w:p w14:paraId="60782973" w14:textId="7DC1F45E" w:rsidR="0062682F" w:rsidRDefault="0062682F" w:rsidP="00C72B56">
      <w:pPr>
        <w:pStyle w:val="FSADocumentText"/>
        <w:rPr>
          <w:lang w:eastAsia="en-GB"/>
        </w:rPr>
      </w:pPr>
      <w:r w:rsidRPr="003727EB">
        <w:rPr>
          <w:lang w:eastAsia="en-GB"/>
        </w:rPr>
        <w:t>Basel III is an internationally agreed set of measures and standards developed and issued by the international standard setting body, the Basel Committee on Banking Supervision (</w:t>
      </w:r>
      <w:r>
        <w:rPr>
          <w:lang w:eastAsia="en-GB"/>
        </w:rPr>
        <w:t>“</w:t>
      </w:r>
      <w:r w:rsidRPr="003727EB">
        <w:rPr>
          <w:lang w:eastAsia="en-GB"/>
        </w:rPr>
        <w:t>Basel Committee</w:t>
      </w:r>
      <w:r>
        <w:rPr>
          <w:lang w:eastAsia="en-GB"/>
        </w:rPr>
        <w:t>”</w:t>
      </w:r>
      <w:r w:rsidRPr="003727EB">
        <w:rPr>
          <w:lang w:eastAsia="en-GB"/>
        </w:rPr>
        <w:t>).</w:t>
      </w:r>
      <w:r w:rsidR="007117E7">
        <w:rPr>
          <w:lang w:eastAsia="en-GB"/>
        </w:rPr>
        <w:t xml:space="preserve"> </w:t>
      </w:r>
      <w:r w:rsidRPr="003727EB">
        <w:rPr>
          <w:lang w:eastAsia="en-GB"/>
        </w:rPr>
        <w:t>It expanded upon and replaced Basel II.</w:t>
      </w:r>
      <w:r w:rsidR="007117E7">
        <w:rPr>
          <w:lang w:eastAsia="en-GB"/>
        </w:rPr>
        <w:t xml:space="preserve"> </w:t>
      </w:r>
      <w:r w:rsidRPr="003727EB">
        <w:rPr>
          <w:lang w:eastAsia="en-GB"/>
        </w:rPr>
        <w:t>The various Basel III reforms were brought together in 2019 into one consolidated set of standards, collectively referred to as the Basel Framework. </w:t>
      </w:r>
    </w:p>
    <w:p w14:paraId="7CDB0E52" w14:textId="77777777" w:rsidR="0062682F" w:rsidRPr="003727EB" w:rsidRDefault="0062682F" w:rsidP="00C72B56">
      <w:pPr>
        <w:pStyle w:val="FSADocumentText"/>
        <w:rPr>
          <w:lang w:eastAsia="en-GB"/>
        </w:rPr>
      </w:pPr>
    </w:p>
    <w:p w14:paraId="7AC14F0E" w14:textId="77777777" w:rsidR="0062682F" w:rsidRDefault="0062682F" w:rsidP="00C72B56">
      <w:pPr>
        <w:pStyle w:val="FSADocumentText"/>
        <w:rPr>
          <w:lang w:eastAsia="en-GB"/>
        </w:rPr>
      </w:pPr>
      <w:r w:rsidRPr="003727EB">
        <w:rPr>
          <w:lang w:eastAsia="en-GB"/>
        </w:rPr>
        <w:t>Implementation of the components of the Basel Framework, at a consolidated level for internationally active banks, was between December 2019 to January 2023.</w:t>
      </w:r>
    </w:p>
    <w:p w14:paraId="6502C23F" w14:textId="77777777" w:rsidR="0062682F" w:rsidRPr="003727EB" w:rsidRDefault="0062682F" w:rsidP="00C72B56">
      <w:pPr>
        <w:pStyle w:val="FSADocumentText"/>
        <w:rPr>
          <w:lang w:eastAsia="en-GB"/>
        </w:rPr>
      </w:pPr>
    </w:p>
    <w:p w14:paraId="35E2D5F6" w14:textId="77777777" w:rsidR="0062682F" w:rsidRDefault="0062682F" w:rsidP="00C72B56">
      <w:pPr>
        <w:pStyle w:val="FSADocumentText"/>
        <w:rPr>
          <w:lang w:eastAsia="en-GB"/>
        </w:rPr>
      </w:pPr>
      <w:r w:rsidRPr="003727EB">
        <w:rPr>
          <w:lang w:eastAsia="en-GB"/>
        </w:rPr>
        <w:t>In summary, the Basel Framework consists of:</w:t>
      </w:r>
    </w:p>
    <w:p w14:paraId="75F12EFD" w14:textId="77777777" w:rsidR="003563D2" w:rsidRPr="003727EB" w:rsidRDefault="003563D2" w:rsidP="00C72B56">
      <w:pPr>
        <w:pStyle w:val="FSADocumentText"/>
        <w:rPr>
          <w:lang w:eastAsia="en-GB"/>
        </w:rPr>
      </w:pPr>
    </w:p>
    <w:p w14:paraId="5A37077F" w14:textId="7AE6F166" w:rsidR="0062682F" w:rsidRPr="003727EB" w:rsidRDefault="007117E7" w:rsidP="00C72B56">
      <w:pPr>
        <w:pStyle w:val="FSADocumentText"/>
        <w:numPr>
          <w:ilvl w:val="0"/>
          <w:numId w:val="40"/>
        </w:numPr>
        <w:rPr>
          <w:lang w:eastAsia="en-GB"/>
        </w:rPr>
      </w:pPr>
      <w:r>
        <w:rPr>
          <w:lang w:eastAsia="en-GB"/>
        </w:rPr>
        <w:t>P</w:t>
      </w:r>
      <w:r w:rsidRPr="003727EB">
        <w:rPr>
          <w:lang w:eastAsia="en-GB"/>
        </w:rPr>
        <w:t xml:space="preserve">rudential </w:t>
      </w:r>
      <w:r w:rsidR="0062682F" w:rsidRPr="003727EB">
        <w:rPr>
          <w:lang w:eastAsia="en-GB"/>
        </w:rPr>
        <w:t xml:space="preserve">standards covering bank capital adequacy, bank liquidity, and large exposures, and elements of interest rate </w:t>
      </w:r>
      <w:proofErr w:type="gramStart"/>
      <w:r w:rsidR="0062682F" w:rsidRPr="003727EB">
        <w:rPr>
          <w:lang w:eastAsia="en-GB"/>
        </w:rPr>
        <w:t>risk;</w:t>
      </w:r>
      <w:proofErr w:type="gramEnd"/>
    </w:p>
    <w:p w14:paraId="0C2777C5" w14:textId="0C9015C3" w:rsidR="0062682F" w:rsidRPr="003727EB" w:rsidRDefault="007117E7" w:rsidP="00C72B56">
      <w:pPr>
        <w:pStyle w:val="FSADocumentText"/>
        <w:numPr>
          <w:ilvl w:val="0"/>
          <w:numId w:val="40"/>
        </w:numPr>
        <w:rPr>
          <w:lang w:eastAsia="en-GB"/>
        </w:rPr>
      </w:pPr>
      <w:r>
        <w:rPr>
          <w:lang w:eastAsia="en-GB"/>
        </w:rPr>
        <w:t>R</w:t>
      </w:r>
      <w:r w:rsidRPr="003727EB">
        <w:rPr>
          <w:lang w:eastAsia="en-GB"/>
        </w:rPr>
        <w:t xml:space="preserve">isk </w:t>
      </w:r>
      <w:r w:rsidR="0062682F" w:rsidRPr="003727EB">
        <w:rPr>
          <w:lang w:eastAsia="en-GB"/>
        </w:rPr>
        <w:t xml:space="preserve">management and supervisory review </w:t>
      </w:r>
      <w:proofErr w:type="gramStart"/>
      <w:r w:rsidR="0062682F" w:rsidRPr="003727EB">
        <w:rPr>
          <w:lang w:eastAsia="en-GB"/>
        </w:rPr>
        <w:t>processes;</w:t>
      </w:r>
      <w:proofErr w:type="gramEnd"/>
    </w:p>
    <w:p w14:paraId="612A71DE" w14:textId="03A692B2" w:rsidR="0062682F" w:rsidRPr="003727EB" w:rsidRDefault="007117E7" w:rsidP="00C72B56">
      <w:pPr>
        <w:pStyle w:val="FSADocumentText"/>
        <w:numPr>
          <w:ilvl w:val="0"/>
          <w:numId w:val="40"/>
        </w:numPr>
        <w:rPr>
          <w:lang w:eastAsia="en-GB"/>
        </w:rPr>
      </w:pPr>
      <w:r>
        <w:rPr>
          <w:lang w:eastAsia="en-GB"/>
        </w:rPr>
        <w:t>D</w:t>
      </w:r>
      <w:r w:rsidRPr="003727EB">
        <w:rPr>
          <w:lang w:eastAsia="en-GB"/>
        </w:rPr>
        <w:t xml:space="preserve">isclosure </w:t>
      </w:r>
      <w:r w:rsidR="0062682F" w:rsidRPr="003727EB">
        <w:rPr>
          <w:lang w:eastAsia="en-GB"/>
        </w:rPr>
        <w:t>requirements (market discipline); and</w:t>
      </w:r>
    </w:p>
    <w:p w14:paraId="345F3F6B" w14:textId="3DF7A123" w:rsidR="0062682F" w:rsidRPr="003727EB" w:rsidRDefault="007117E7" w:rsidP="00C72B56">
      <w:pPr>
        <w:pStyle w:val="FSADocumentText"/>
        <w:numPr>
          <w:ilvl w:val="0"/>
          <w:numId w:val="40"/>
        </w:numPr>
        <w:rPr>
          <w:lang w:eastAsia="en-GB"/>
        </w:rPr>
      </w:pPr>
      <w:r>
        <w:rPr>
          <w:lang w:eastAsia="en-GB"/>
        </w:rPr>
        <w:t>A</w:t>
      </w:r>
      <w:r w:rsidRPr="003727EB">
        <w:rPr>
          <w:lang w:eastAsia="en-GB"/>
        </w:rPr>
        <w:t xml:space="preserve">n </w:t>
      </w:r>
      <w:r w:rsidR="0062682F" w:rsidRPr="003727EB">
        <w:rPr>
          <w:lang w:eastAsia="en-GB"/>
        </w:rPr>
        <w:t>approach to identifying and supervising systemically important banks.</w:t>
      </w:r>
    </w:p>
    <w:p w14:paraId="4510C9AE" w14:textId="77777777" w:rsidR="0062682F" w:rsidRDefault="0062682F" w:rsidP="00C72B56">
      <w:pPr>
        <w:pStyle w:val="FSADocumentText"/>
        <w:rPr>
          <w:lang w:eastAsia="en-GB"/>
        </w:rPr>
      </w:pPr>
    </w:p>
    <w:p w14:paraId="301601F0" w14:textId="39EE2A8F" w:rsidR="0062682F" w:rsidRPr="003727EB" w:rsidRDefault="0062682F" w:rsidP="00C72B56">
      <w:pPr>
        <w:pStyle w:val="FSADocumentText"/>
        <w:rPr>
          <w:lang w:eastAsia="en-GB"/>
        </w:rPr>
      </w:pPr>
      <w:r w:rsidRPr="003727EB">
        <w:rPr>
          <w:lang w:eastAsia="en-GB"/>
        </w:rPr>
        <w:t xml:space="preserve">Underpinning the above are </w:t>
      </w:r>
      <w:r w:rsidR="007117E7">
        <w:rPr>
          <w:lang w:eastAsia="en-GB"/>
        </w:rPr>
        <w:t xml:space="preserve">the </w:t>
      </w:r>
      <w:r w:rsidRPr="003727EB">
        <w:rPr>
          <w:lang w:eastAsia="en-GB"/>
        </w:rPr>
        <w:t>‘core principles for effective banking supervision’ which provide a comprehensive standard for establishing a sound foundation for the regulation, supervision, governance and risk management of the banking sector.</w:t>
      </w:r>
    </w:p>
    <w:p w14:paraId="575512FA" w14:textId="77777777" w:rsidR="0062682F" w:rsidRPr="003727EB" w:rsidRDefault="0062682F" w:rsidP="00C72B56">
      <w:pPr>
        <w:pStyle w:val="FSADocumentText"/>
        <w:rPr>
          <w:lang w:eastAsia="en-GB"/>
        </w:rPr>
      </w:pPr>
      <w:r w:rsidRPr="003727EB">
        <w:rPr>
          <w:lang w:eastAsia="en-GB"/>
        </w:rPr>
        <w:t> </w:t>
      </w:r>
    </w:p>
    <w:p w14:paraId="75C5E2E6" w14:textId="34ED2F41" w:rsidR="0062682F" w:rsidRDefault="0062682F" w:rsidP="00C72B56">
      <w:pPr>
        <w:pStyle w:val="FSADocumentText"/>
        <w:rPr>
          <w:lang w:eastAsia="en-GB"/>
        </w:rPr>
      </w:pPr>
      <w:r w:rsidRPr="003727EB">
        <w:rPr>
          <w:lang w:eastAsia="en-GB"/>
        </w:rPr>
        <w:t xml:space="preserve">In the </w:t>
      </w:r>
      <w:r>
        <w:rPr>
          <w:lang w:eastAsia="en-GB"/>
        </w:rPr>
        <w:t>Island</w:t>
      </w:r>
      <w:r w:rsidRPr="003727EB">
        <w:rPr>
          <w:lang w:eastAsia="en-GB"/>
        </w:rPr>
        <w:t>, a flexible approach to rolling out the key components</w:t>
      </w:r>
      <w:r>
        <w:rPr>
          <w:lang w:eastAsia="en-GB"/>
        </w:rPr>
        <w:t xml:space="preserve"> of the Basel Framework</w:t>
      </w:r>
      <w:r w:rsidRPr="003727EB">
        <w:rPr>
          <w:lang w:eastAsia="en-GB"/>
        </w:rPr>
        <w:t>, most relevant to the banking sector, has been adopted</w:t>
      </w:r>
      <w:r>
        <w:rPr>
          <w:lang w:eastAsia="en-GB"/>
        </w:rPr>
        <w:t>.</w:t>
      </w:r>
      <w:r w:rsidR="007117E7">
        <w:rPr>
          <w:lang w:eastAsia="en-GB"/>
        </w:rPr>
        <w:t xml:space="preserve"> </w:t>
      </w:r>
      <w:r>
        <w:rPr>
          <w:lang w:eastAsia="en-GB"/>
        </w:rPr>
        <w:t xml:space="preserve">As part of this approach, in October 2024 the Authority published an </w:t>
      </w:r>
      <w:hyperlink r:id="rId15" w:history="1">
        <w:r w:rsidR="000361F5">
          <w:rPr>
            <w:rStyle w:val="Hyperlink"/>
            <w:lang w:eastAsia="en-GB"/>
          </w:rPr>
          <w:t>implementation plan</w:t>
        </w:r>
      </w:hyperlink>
      <w:r w:rsidR="000361F5">
        <w:rPr>
          <w:lang w:eastAsia="en-GB"/>
        </w:rPr>
        <w:t xml:space="preserve"> </w:t>
      </w:r>
      <w:r>
        <w:rPr>
          <w:lang w:eastAsia="en-GB"/>
        </w:rPr>
        <w:t>in respect of introducing updated liquidity requirements for banks.</w:t>
      </w:r>
    </w:p>
    <w:p w14:paraId="13B29328" w14:textId="77777777" w:rsidR="00CA2A69" w:rsidRDefault="00CA2A69" w:rsidP="003563D2">
      <w:pPr>
        <w:pStyle w:val="FSADocumentText"/>
        <w:rPr>
          <w:lang w:eastAsia="en-GB"/>
        </w:rPr>
      </w:pPr>
    </w:p>
    <w:p w14:paraId="116DFC46" w14:textId="77777777" w:rsidR="00073A44" w:rsidRDefault="00073A44" w:rsidP="00073A44">
      <w:pPr>
        <w:pStyle w:val="Heading2"/>
        <w:rPr>
          <w:lang w:eastAsia="en-GB"/>
        </w:rPr>
      </w:pPr>
      <w:bookmarkStart w:id="4" w:name="_Toc201927332"/>
      <w:r>
        <w:rPr>
          <w:lang w:eastAsia="en-GB"/>
        </w:rPr>
        <w:t>Purpose</w:t>
      </w:r>
      <w:bookmarkEnd w:id="4"/>
    </w:p>
    <w:p w14:paraId="5E2A13FE" w14:textId="3B7B1F0D" w:rsidR="0062682F" w:rsidRPr="003563D2" w:rsidRDefault="0062682F" w:rsidP="00C72B56">
      <w:pPr>
        <w:pStyle w:val="FSADocumentText"/>
      </w:pPr>
      <w:r w:rsidRPr="003563D2">
        <w:t xml:space="preserve">The purpose of this Paper is to seek views on proposals to implement a </w:t>
      </w:r>
      <w:r w:rsidR="0063548E">
        <w:t>Net Stable Funding</w:t>
      </w:r>
      <w:r w:rsidRPr="003563D2">
        <w:t xml:space="preserve"> Ratio (</w:t>
      </w:r>
      <w:r w:rsidR="007117E7">
        <w:t>“</w:t>
      </w:r>
      <w:r w:rsidR="0063548E">
        <w:rPr>
          <w:b/>
          <w:bCs/>
        </w:rPr>
        <w:t>NSFR</w:t>
      </w:r>
      <w:r w:rsidR="007117E7">
        <w:rPr>
          <w:b/>
          <w:bCs/>
        </w:rPr>
        <w:t>”</w:t>
      </w:r>
      <w:r w:rsidRPr="003563D2">
        <w:t xml:space="preserve">) requirement (including reporting forms, guidance, and core regulatory requirements) for banks incorporated in the Isle of Man, in line with the Basel III </w:t>
      </w:r>
      <w:r w:rsidR="0063548E">
        <w:t xml:space="preserve">NSFR </w:t>
      </w:r>
      <w:r w:rsidR="004D452D">
        <w:t>Standard</w:t>
      </w:r>
      <w:r w:rsidRPr="003563D2">
        <w:t>.</w:t>
      </w:r>
      <w:r w:rsidR="007117E7">
        <w:t xml:space="preserve"> </w:t>
      </w:r>
    </w:p>
    <w:p w14:paraId="0EDC38D2" w14:textId="77777777" w:rsidR="0062682F" w:rsidRPr="003563D2" w:rsidRDefault="0062682F" w:rsidP="00C72B56">
      <w:pPr>
        <w:pStyle w:val="FSADocumentText"/>
      </w:pPr>
    </w:p>
    <w:p w14:paraId="1833077C" w14:textId="7D3C657A" w:rsidR="0062682F" w:rsidRPr="003563D2" w:rsidRDefault="0062682F" w:rsidP="00C72B56">
      <w:pPr>
        <w:pStyle w:val="FSADocumentText"/>
      </w:pPr>
      <w:r w:rsidRPr="003563D2">
        <w:t xml:space="preserve">The Paper establishes proposals for the implementation of </w:t>
      </w:r>
      <w:r w:rsidR="00533542">
        <w:t xml:space="preserve">a </w:t>
      </w:r>
      <w:r w:rsidR="0063548E">
        <w:t xml:space="preserve">NSFR </w:t>
      </w:r>
      <w:r w:rsidR="00533542">
        <w:t>requirement</w:t>
      </w:r>
      <w:r w:rsidRPr="003563D2">
        <w:t xml:space="preserve"> in respect of banks incorporated in the Island.</w:t>
      </w:r>
      <w:r w:rsidR="007117E7">
        <w:t xml:space="preserve"> </w:t>
      </w:r>
      <w:r w:rsidRPr="003563D2">
        <w:t xml:space="preserve">Proposals in respect of other components of </w:t>
      </w:r>
      <w:r w:rsidR="00D4738D" w:rsidRPr="003563D2">
        <w:t xml:space="preserve">the </w:t>
      </w:r>
      <w:hyperlink r:id="rId16" w:history="1">
        <w:r w:rsidRPr="007117E7">
          <w:rPr>
            <w:rStyle w:val="Hyperlink"/>
          </w:rPr>
          <w:t>implementation plan</w:t>
        </w:r>
      </w:hyperlink>
      <w:r w:rsidRPr="003563D2">
        <w:t xml:space="preserve"> published in October 2024 </w:t>
      </w:r>
      <w:r w:rsidRPr="00FC6D9C">
        <w:t>will be subject to separate discussion papers</w:t>
      </w:r>
      <w:r w:rsidR="00FC6D9C">
        <w:rPr>
          <w:rStyle w:val="FootnoteReference"/>
        </w:rPr>
        <w:footnoteReference w:id="1"/>
      </w:r>
      <w:r w:rsidR="00FC6D9C">
        <w:t>.</w:t>
      </w:r>
    </w:p>
    <w:p w14:paraId="5D660380" w14:textId="77777777" w:rsidR="0062682F" w:rsidRPr="003563D2" w:rsidRDefault="0062682F" w:rsidP="00C72B56">
      <w:pPr>
        <w:pStyle w:val="FSADocumentText"/>
      </w:pPr>
    </w:p>
    <w:p w14:paraId="2DA11E11" w14:textId="50E96950" w:rsidR="0062682F" w:rsidRPr="003563D2" w:rsidRDefault="0062682F" w:rsidP="00C72B56">
      <w:pPr>
        <w:pStyle w:val="FSADocumentText"/>
      </w:pPr>
      <w:r w:rsidRPr="003563D2">
        <w:lastRenderedPageBreak/>
        <w:t xml:space="preserve">Changes to reporting requirements for banks in the Island which are branches of overseas banks will also eventually be introduced as indicated in the published </w:t>
      </w:r>
      <w:hyperlink r:id="rId17" w:history="1">
        <w:r w:rsidRPr="007117E7">
          <w:rPr>
            <w:rStyle w:val="Hyperlink"/>
          </w:rPr>
          <w:t>implementation plan</w:t>
        </w:r>
      </w:hyperlink>
      <w:r w:rsidRPr="003563D2">
        <w:t>.</w:t>
      </w:r>
    </w:p>
    <w:p w14:paraId="190B407B" w14:textId="77777777" w:rsidR="0062682F" w:rsidRPr="003563D2" w:rsidRDefault="0062682F" w:rsidP="00C72B56">
      <w:pPr>
        <w:pStyle w:val="FSADocumentText"/>
        <w:rPr>
          <w:highlight w:val="yellow"/>
        </w:rPr>
      </w:pPr>
    </w:p>
    <w:p w14:paraId="5FB55B0A" w14:textId="7F359C11" w:rsidR="0062682F" w:rsidRPr="003563D2" w:rsidRDefault="0062682F" w:rsidP="00C72B56">
      <w:pPr>
        <w:pStyle w:val="FSADocumentText"/>
      </w:pPr>
      <w:r w:rsidRPr="003563D2">
        <w:t xml:space="preserve">The proposals </w:t>
      </w:r>
      <w:r w:rsidR="002A26CA" w:rsidRPr="003563D2">
        <w:t xml:space="preserve">for </w:t>
      </w:r>
      <w:r w:rsidR="004D452D">
        <w:t>a</w:t>
      </w:r>
      <w:r w:rsidR="0063548E">
        <w:t xml:space="preserve"> NSFR </w:t>
      </w:r>
      <w:r w:rsidRPr="003563D2">
        <w:t xml:space="preserve">are set out </w:t>
      </w:r>
      <w:r w:rsidR="00D4738D" w:rsidRPr="003563D2">
        <w:t xml:space="preserve">more fully </w:t>
      </w:r>
      <w:r w:rsidRPr="003563D2">
        <w:t xml:space="preserve">in </w:t>
      </w:r>
      <w:hyperlink w:anchor="_Proposals" w:history="1">
        <w:r w:rsidR="00314F16">
          <w:rPr>
            <w:rStyle w:val="Hyperlink"/>
          </w:rPr>
          <w:t>section 3 (Proposals)</w:t>
        </w:r>
      </w:hyperlink>
      <w:r w:rsidR="00D4738D" w:rsidRPr="003563D2">
        <w:t xml:space="preserve"> of this Paper.</w:t>
      </w:r>
    </w:p>
    <w:p w14:paraId="290936A6" w14:textId="77777777" w:rsidR="00CA2A69" w:rsidRPr="003563D2" w:rsidRDefault="00CA2A69" w:rsidP="003563D2">
      <w:pPr>
        <w:pStyle w:val="FSADocumentText"/>
      </w:pPr>
    </w:p>
    <w:p w14:paraId="12EA249D" w14:textId="1321410B" w:rsidR="00CA2A69" w:rsidRDefault="006B72B0" w:rsidP="00CA2A69">
      <w:pPr>
        <w:pStyle w:val="Heading2"/>
      </w:pPr>
      <w:bookmarkStart w:id="5" w:name="_Toc201927333"/>
      <w:r>
        <w:t>Interested persons</w:t>
      </w:r>
      <w:bookmarkEnd w:id="5"/>
    </w:p>
    <w:p w14:paraId="57FB0B6F" w14:textId="1C3CE389" w:rsidR="0062682F" w:rsidRPr="00BC1C9E" w:rsidRDefault="0062682F" w:rsidP="00C72B56">
      <w:pPr>
        <w:pStyle w:val="FSADocumentText"/>
        <w:rPr>
          <w:lang w:eastAsia="en-GB"/>
        </w:rPr>
      </w:pPr>
      <w:r w:rsidRPr="00BC1C9E">
        <w:rPr>
          <w:lang w:eastAsia="en-GB"/>
        </w:rPr>
        <w:t xml:space="preserve">The </w:t>
      </w:r>
      <w:r>
        <w:rPr>
          <w:lang w:eastAsia="en-GB"/>
        </w:rPr>
        <w:t>Paper</w:t>
      </w:r>
      <w:r w:rsidRPr="00BC1C9E">
        <w:rPr>
          <w:lang w:eastAsia="en-GB"/>
        </w:rPr>
        <w:t xml:space="preserve"> is primarily relevant to banks incorporated in the Island, and to the banking sector more generally</w:t>
      </w:r>
      <w:r>
        <w:rPr>
          <w:lang w:eastAsia="en-GB"/>
        </w:rPr>
        <w:t>, including their auditors and any other advisers</w:t>
      </w:r>
      <w:r w:rsidRPr="00BC1C9E">
        <w:rPr>
          <w:lang w:eastAsia="en-GB"/>
        </w:rPr>
        <w:t>.</w:t>
      </w:r>
    </w:p>
    <w:p w14:paraId="22001CB0" w14:textId="6619E2F4" w:rsidR="005D4DA1" w:rsidRDefault="005D4DA1" w:rsidP="003563D2">
      <w:pPr>
        <w:pStyle w:val="FSADocumentText"/>
      </w:pPr>
    </w:p>
    <w:p w14:paraId="0A24926C" w14:textId="22340B2A" w:rsidR="005D4DA1" w:rsidRDefault="006B72B0" w:rsidP="005D4DA1">
      <w:pPr>
        <w:pStyle w:val="Heading2"/>
      </w:pPr>
      <w:bookmarkStart w:id="6" w:name="_Toc201927334"/>
      <w:r>
        <w:t>How to respond</w:t>
      </w:r>
      <w:bookmarkEnd w:id="6"/>
    </w:p>
    <w:p w14:paraId="5B1457DE" w14:textId="068DD3FD" w:rsidR="003C0DF1" w:rsidRDefault="00702C98" w:rsidP="00C72B56">
      <w:pPr>
        <w:pStyle w:val="FSADocumentText"/>
      </w:pPr>
      <w:r>
        <w:t xml:space="preserve">This Paper has been </w:t>
      </w:r>
      <w:r w:rsidR="00754865">
        <w:t>circulated to the Isle of Man Bankers Association and individual Class 1(1)</w:t>
      </w:r>
      <w:r w:rsidR="00750244">
        <w:t xml:space="preserve">, </w:t>
      </w:r>
      <w:r w:rsidR="00754865">
        <w:t>Class 1(2) (Deposit Taker</w:t>
      </w:r>
      <w:r w:rsidR="003B52E5">
        <w:t>s</w:t>
      </w:r>
      <w:r w:rsidR="00754865">
        <w:t xml:space="preserve">) </w:t>
      </w:r>
      <w:r w:rsidR="00750244">
        <w:t xml:space="preserve">and Class 1(3) (Representative Office) </w:t>
      </w:r>
      <w:r w:rsidR="00754865">
        <w:t>licenceholders under the FSA08.</w:t>
      </w:r>
      <w:r w:rsidR="00F8675F">
        <w:t xml:space="preserve"> As this is a targeted consultation for banks and the banking sector, it has not been published on the Isle of Man Government’s Engagement Hub.</w:t>
      </w:r>
    </w:p>
    <w:p w14:paraId="199541FC" w14:textId="77777777" w:rsidR="003C0DF1" w:rsidRDefault="003C0DF1" w:rsidP="00C72B56">
      <w:pPr>
        <w:pStyle w:val="FSADocumentText"/>
      </w:pPr>
    </w:p>
    <w:p w14:paraId="4A728FB2" w14:textId="51A2CB3B" w:rsidR="00702C98" w:rsidRDefault="003C0DF1" w:rsidP="00C72B56">
      <w:pPr>
        <w:pStyle w:val="FSADocumentText"/>
      </w:pPr>
      <w:r>
        <w:t>Responses</w:t>
      </w:r>
      <w:r w:rsidR="007117E7">
        <w:t xml:space="preserve"> </w:t>
      </w:r>
      <w:r>
        <w:t xml:space="preserve">can be submitted by email </w:t>
      </w:r>
      <w:r w:rsidR="00BA1246">
        <w:t xml:space="preserve">to </w:t>
      </w:r>
      <w:hyperlink r:id="rId18" w:history="1">
        <w:r w:rsidR="00A11BDF" w:rsidRPr="00F83814">
          <w:rPr>
            <w:rStyle w:val="Hyperlink"/>
          </w:rPr>
          <w:t>andrew.kermode@iomfsa.im</w:t>
        </w:r>
      </w:hyperlink>
      <w:r w:rsidR="00BA1246">
        <w:t xml:space="preserve"> </w:t>
      </w:r>
      <w:r>
        <w:t xml:space="preserve">and, if in an attachment, preferably in an extractible format e.g. Microsoft Word document. </w:t>
      </w:r>
      <w:r w:rsidR="0045490A">
        <w:t>Alternatively</w:t>
      </w:r>
      <w:r w:rsidR="00A703AB">
        <w:t>,</w:t>
      </w:r>
      <w:r w:rsidR="0045490A">
        <w:t xml:space="preserve"> you can </w:t>
      </w:r>
      <w:r>
        <w:t>submit responses by</w:t>
      </w:r>
      <w:r w:rsidR="00650FCF">
        <w:t xml:space="preserve"> post to:</w:t>
      </w:r>
    </w:p>
    <w:p w14:paraId="7C1CA673" w14:textId="12816C10" w:rsidR="00650FCF" w:rsidRDefault="00650FCF" w:rsidP="00C72B56">
      <w:pPr>
        <w:pStyle w:val="FSADocumentText"/>
      </w:pPr>
    </w:p>
    <w:p w14:paraId="2D8D6AE6" w14:textId="1F2C36A1" w:rsidR="00650FCF" w:rsidRPr="006C038D" w:rsidRDefault="002216AE" w:rsidP="00C72B56">
      <w:pPr>
        <w:pStyle w:val="FSADocumentText"/>
        <w:ind w:left="720"/>
        <w:rPr>
          <w:b/>
          <w:color w:val="005782"/>
        </w:rPr>
      </w:pPr>
      <w:r w:rsidRPr="002216AE">
        <w:rPr>
          <w:b/>
          <w:color w:val="005782"/>
        </w:rPr>
        <w:t>Mr Andrew Kermode</w:t>
      </w:r>
    </w:p>
    <w:p w14:paraId="0F963CBA" w14:textId="752064D5" w:rsidR="005D4DA1" w:rsidRPr="006C038D" w:rsidRDefault="002216AE" w:rsidP="00C72B56">
      <w:pPr>
        <w:pStyle w:val="FSADocumentText"/>
        <w:ind w:left="720"/>
        <w:rPr>
          <w:b/>
          <w:color w:val="005782"/>
        </w:rPr>
      </w:pPr>
      <w:r>
        <w:rPr>
          <w:b/>
          <w:color w:val="005782"/>
        </w:rPr>
        <w:t>Head of Division – Prudential Supervision Division</w:t>
      </w:r>
    </w:p>
    <w:p w14:paraId="254ACAC7" w14:textId="77777777" w:rsidR="00650FCF" w:rsidRPr="006C038D" w:rsidRDefault="00650FCF" w:rsidP="00C72B56">
      <w:pPr>
        <w:pStyle w:val="FSADocumentText"/>
        <w:ind w:left="720"/>
        <w:rPr>
          <w:b/>
          <w:color w:val="005782"/>
        </w:rPr>
      </w:pPr>
      <w:r w:rsidRPr="006C038D">
        <w:rPr>
          <w:b/>
          <w:color w:val="005782"/>
        </w:rPr>
        <w:t>Isle of Man Financial Services Authority</w:t>
      </w:r>
    </w:p>
    <w:p w14:paraId="41520A3C" w14:textId="0A8C85A0" w:rsidR="00650FCF" w:rsidRPr="00CD024E" w:rsidRDefault="00650FCF" w:rsidP="00C72B56">
      <w:pPr>
        <w:pStyle w:val="FSADocumentText"/>
        <w:ind w:left="720"/>
      </w:pPr>
      <w:r w:rsidRPr="00CD024E">
        <w:t>PO Box 58, Finch Hill House</w:t>
      </w:r>
      <w:r>
        <w:t xml:space="preserve">, </w:t>
      </w:r>
      <w:r w:rsidRPr="00CD024E">
        <w:t>Bucks Road, Douglas</w:t>
      </w:r>
      <w:r w:rsidR="005D4DA1">
        <w:t>,</w:t>
      </w:r>
      <w:r>
        <w:t xml:space="preserve"> </w:t>
      </w:r>
      <w:r w:rsidRPr="00CD024E">
        <w:t>Isle of Man, IM99 1DT</w:t>
      </w:r>
    </w:p>
    <w:p w14:paraId="0A1B49FA" w14:textId="5AC7A1B9" w:rsidR="00650FCF" w:rsidRDefault="00650FCF" w:rsidP="003563D2">
      <w:pPr>
        <w:pStyle w:val="FSADocumentText"/>
      </w:pPr>
    </w:p>
    <w:p w14:paraId="3F6EC289" w14:textId="424B3E1A" w:rsidR="005D4DA1" w:rsidRPr="005D4DA1" w:rsidRDefault="006B72B0" w:rsidP="005D4DA1">
      <w:pPr>
        <w:pStyle w:val="Heading2"/>
        <w:rPr>
          <w:lang w:eastAsia="en-GB"/>
        </w:rPr>
      </w:pPr>
      <w:bookmarkStart w:id="7" w:name="_Toc201927335"/>
      <w:r>
        <w:rPr>
          <w:lang w:eastAsia="en-GB"/>
        </w:rPr>
        <w:t>Next steps</w:t>
      </w:r>
      <w:bookmarkEnd w:id="7"/>
    </w:p>
    <w:p w14:paraId="1729DACA" w14:textId="612125B3" w:rsidR="005D4DA1" w:rsidRPr="003563D2" w:rsidRDefault="005D4DA1" w:rsidP="00C72B56">
      <w:pPr>
        <w:pStyle w:val="FSADocumentText"/>
      </w:pPr>
      <w:r w:rsidRPr="003563D2">
        <w:t xml:space="preserve">Following closure of the consultation period on </w:t>
      </w:r>
      <w:r w:rsidR="00B01D66">
        <w:rPr>
          <w:b/>
          <w:bCs/>
        </w:rPr>
        <w:t>29 August 2025</w:t>
      </w:r>
      <w:r w:rsidRPr="00002A77">
        <w:t>,</w:t>
      </w:r>
      <w:r w:rsidRPr="003563D2">
        <w:t xml:space="preserve"> the Authority will review the responses received and </w:t>
      </w:r>
      <w:r w:rsidR="00F8675F">
        <w:t>issue</w:t>
      </w:r>
      <w:r w:rsidR="00F8675F" w:rsidRPr="003563D2">
        <w:t xml:space="preserve"> </w:t>
      </w:r>
      <w:r w:rsidRPr="003563D2">
        <w:t xml:space="preserve">a Feedback Statement </w:t>
      </w:r>
      <w:r w:rsidR="00F8675F">
        <w:t>to consultees</w:t>
      </w:r>
      <w:r w:rsidRPr="003563D2">
        <w:t>.</w:t>
      </w:r>
    </w:p>
    <w:p w14:paraId="7EE8944A" w14:textId="16EF9913" w:rsidR="005D4DA1" w:rsidRPr="003563D2" w:rsidRDefault="005D4DA1" w:rsidP="003563D2">
      <w:pPr>
        <w:pStyle w:val="FSADocumentText"/>
      </w:pPr>
    </w:p>
    <w:p w14:paraId="00D020C8" w14:textId="072CAD84" w:rsidR="005D4DA1" w:rsidRDefault="006B72B0" w:rsidP="005D4DA1">
      <w:pPr>
        <w:pStyle w:val="Heading2"/>
      </w:pPr>
      <w:bookmarkStart w:id="8" w:name="_Toc201927336"/>
      <w:r>
        <w:t>Questions</w:t>
      </w:r>
      <w:bookmarkEnd w:id="8"/>
    </w:p>
    <w:p w14:paraId="4C83D883" w14:textId="2C879898" w:rsidR="009864AD" w:rsidRDefault="006B72B0" w:rsidP="00C72B56">
      <w:pPr>
        <w:pStyle w:val="FSADocumentText"/>
      </w:pPr>
      <w:r w:rsidRPr="00890BF1">
        <w:t xml:space="preserve">If you have a query in relation to how this </w:t>
      </w:r>
      <w:r>
        <w:t xml:space="preserve">consultation </w:t>
      </w:r>
      <w:r w:rsidRPr="00890BF1">
        <w:t xml:space="preserve">has been carried out, please contact the Authority’s </w:t>
      </w:r>
      <w:r>
        <w:t>Policy &amp; Risk</w:t>
      </w:r>
      <w:r w:rsidRPr="00890BF1">
        <w:t xml:space="preserve"> Division by email at </w:t>
      </w:r>
      <w:hyperlink r:id="rId19" w:history="1">
        <w:r w:rsidRPr="007E00D9">
          <w:rPr>
            <w:rStyle w:val="Hyperlink"/>
            <w:bCs/>
            <w:iCs/>
            <w:szCs w:val="20"/>
          </w:rPr>
          <w:t>Policy@iomfsa.im</w:t>
        </w:r>
      </w:hyperlink>
      <w:r w:rsidRPr="00890BF1">
        <w:t xml:space="preserve"> or by telephone on +44 1624 646000.</w:t>
      </w:r>
    </w:p>
    <w:p w14:paraId="5B9E1E03" w14:textId="77777777" w:rsidR="00C72B56" w:rsidRDefault="00C72B56" w:rsidP="00C72B56">
      <w:pPr>
        <w:pStyle w:val="FSADocumentText"/>
      </w:pPr>
    </w:p>
    <w:p w14:paraId="143047FC" w14:textId="5750D557" w:rsidR="0033123C" w:rsidRPr="00264346" w:rsidRDefault="002419AF" w:rsidP="00264346">
      <w:pPr>
        <w:pStyle w:val="Heading1"/>
      </w:pPr>
      <w:bookmarkStart w:id="9" w:name="_Toc201927337"/>
      <w:r>
        <w:t>Consultation Process</w:t>
      </w:r>
      <w:bookmarkEnd w:id="9"/>
    </w:p>
    <w:p w14:paraId="1B464386" w14:textId="044EC862" w:rsidR="0033123C" w:rsidRDefault="003B0E50" w:rsidP="00D86CDA">
      <w:pPr>
        <w:pStyle w:val="Heading2"/>
      </w:pPr>
      <w:bookmarkStart w:id="10" w:name="_Toc201927338"/>
      <w:r>
        <w:t>The Authority’s regulatory objectives</w:t>
      </w:r>
      <w:bookmarkEnd w:id="10"/>
    </w:p>
    <w:p w14:paraId="41F1963C" w14:textId="77777777" w:rsidR="00A55A03" w:rsidRDefault="00A55A03" w:rsidP="00C72B56">
      <w:pPr>
        <w:pStyle w:val="FSADocumentText"/>
      </w:pPr>
      <w:r w:rsidRPr="007123F0">
        <w:t>The Authority’s regulatory objectives are set out in section 2(2) of the FSA08 as —</w:t>
      </w:r>
    </w:p>
    <w:p w14:paraId="712CE7E9" w14:textId="77777777" w:rsidR="00A55A03" w:rsidRPr="007123F0" w:rsidRDefault="00A55A03" w:rsidP="00C72B56">
      <w:pPr>
        <w:pStyle w:val="FSADocumentText"/>
      </w:pPr>
    </w:p>
    <w:p w14:paraId="6C1D5B2E" w14:textId="77777777" w:rsidR="00A55A03" w:rsidRPr="007123F0" w:rsidRDefault="00A55A03" w:rsidP="00C72B56">
      <w:pPr>
        <w:pStyle w:val="FSADocumentText"/>
        <w:numPr>
          <w:ilvl w:val="0"/>
          <w:numId w:val="20"/>
        </w:numPr>
      </w:pPr>
      <w:r w:rsidRPr="007123F0">
        <w:t xml:space="preserve">securing an appropriate degree of protection for policyholders, members of retirement benefits schemes and the customers of persons carrying on a regulated </w:t>
      </w:r>
      <w:proofErr w:type="gramStart"/>
      <w:r w:rsidRPr="007123F0">
        <w:t>activity;</w:t>
      </w:r>
      <w:proofErr w:type="gramEnd"/>
    </w:p>
    <w:p w14:paraId="3D3FD651" w14:textId="77777777" w:rsidR="00A55A03" w:rsidRPr="007123F0" w:rsidRDefault="00A55A03" w:rsidP="00C72B56">
      <w:pPr>
        <w:pStyle w:val="FSADocumentText"/>
        <w:numPr>
          <w:ilvl w:val="0"/>
          <w:numId w:val="20"/>
        </w:numPr>
      </w:pPr>
      <w:r w:rsidRPr="007123F0">
        <w:t>the reduction of financial crime; and</w:t>
      </w:r>
    </w:p>
    <w:p w14:paraId="550DBCC3" w14:textId="5D415789" w:rsidR="00A55A03" w:rsidRDefault="00A55A03" w:rsidP="00C72B56">
      <w:pPr>
        <w:pStyle w:val="FSADocumentText"/>
        <w:numPr>
          <w:ilvl w:val="0"/>
          <w:numId w:val="20"/>
        </w:numPr>
      </w:pPr>
      <w:r w:rsidRPr="007123F0">
        <w:t>the maintenance of confidence in the Island’s financial services, insurance and pensions industries through effective regulation, thereby supporting the Island’s economy and its development as an international financial centre.</w:t>
      </w:r>
    </w:p>
    <w:p w14:paraId="2EC800BB" w14:textId="2A2D8AA0" w:rsidR="00F37389" w:rsidRDefault="00F37389" w:rsidP="003563D2">
      <w:pPr>
        <w:pStyle w:val="FSADocumentText"/>
      </w:pPr>
    </w:p>
    <w:p w14:paraId="302BF4C4" w14:textId="6D053F0A" w:rsidR="00F37389" w:rsidRPr="007123F0" w:rsidRDefault="00F37389" w:rsidP="003C0DF1">
      <w:pPr>
        <w:pStyle w:val="Heading2"/>
      </w:pPr>
      <w:bookmarkStart w:id="11" w:name="_Toc201927339"/>
      <w:r>
        <w:t>Basis for consultation</w:t>
      </w:r>
      <w:bookmarkEnd w:id="11"/>
    </w:p>
    <w:p w14:paraId="4C4368FD" w14:textId="50DBE9FC" w:rsidR="008979A7" w:rsidRDefault="008979A7" w:rsidP="00C72B56">
      <w:pPr>
        <w:pStyle w:val="FSADocumentText"/>
      </w:pPr>
      <w:r>
        <w:t xml:space="preserve">The Authority has </w:t>
      </w:r>
      <w:r w:rsidR="00F8675F">
        <w:t>issued the Discussion Paper to</w:t>
      </w:r>
      <w:r>
        <w:t xml:space="preserve"> the recipients listed in </w:t>
      </w:r>
      <w:hyperlink w:anchor="_Appendix_A_–" w:history="1">
        <w:r w:rsidRPr="001D556C">
          <w:rPr>
            <w:rStyle w:val="Hyperlink"/>
          </w:rPr>
          <w:t>Appendix A</w:t>
        </w:r>
      </w:hyperlink>
      <w:r>
        <w:t>.</w:t>
      </w:r>
    </w:p>
    <w:p w14:paraId="061568BA" w14:textId="77777777" w:rsidR="00222BBE" w:rsidRDefault="00222BBE" w:rsidP="003563D2">
      <w:pPr>
        <w:pStyle w:val="FSADocumentText"/>
      </w:pPr>
    </w:p>
    <w:p w14:paraId="336C4664" w14:textId="3E169B3A" w:rsidR="00E74B73" w:rsidRDefault="00E74B73" w:rsidP="00E74B73">
      <w:pPr>
        <w:pStyle w:val="Heading2"/>
      </w:pPr>
      <w:bookmarkStart w:id="12" w:name="_Toc201927340"/>
      <w:r w:rsidRPr="00E74B73">
        <w:t xml:space="preserve">Responding to the </w:t>
      </w:r>
      <w:r w:rsidR="0043261A">
        <w:t>Discussion</w:t>
      </w:r>
      <w:r w:rsidRPr="00E74B73">
        <w:t xml:space="preserve"> Paper</w:t>
      </w:r>
      <w:bookmarkEnd w:id="12"/>
    </w:p>
    <w:p w14:paraId="41117C14" w14:textId="4E8B0B28" w:rsidR="001B3B4A" w:rsidRDefault="001B3B4A" w:rsidP="00C72B56">
      <w:pPr>
        <w:pStyle w:val="FSADocumentText"/>
      </w:pPr>
      <w:r>
        <w:t>Open dialogue with stakeholders is an essential element for successful development of the Authority’s proposals</w:t>
      </w:r>
      <w:r w:rsidR="00A90C5F">
        <w:t>. C</w:t>
      </w:r>
      <w:r>
        <w:t xml:space="preserve">onstructive feedback will help the Authority reach an informed decision on the content of the proposals and manner of implementation. Respondents should note the following when responding to this </w:t>
      </w:r>
      <w:r w:rsidR="00B16DEF">
        <w:t xml:space="preserve">Discussion </w:t>
      </w:r>
      <w:r>
        <w:t>Paper:</w:t>
      </w:r>
    </w:p>
    <w:p w14:paraId="56D1E2DB" w14:textId="77777777" w:rsidR="001B3B4A" w:rsidRDefault="001B3B4A" w:rsidP="00C72B56">
      <w:pPr>
        <w:pStyle w:val="FSADocumentText"/>
      </w:pPr>
    </w:p>
    <w:p w14:paraId="5CBC24CF" w14:textId="77777777" w:rsidR="00B16DEF" w:rsidRDefault="00B16DEF" w:rsidP="00C72B56">
      <w:pPr>
        <w:pStyle w:val="FSADocumentText"/>
        <w:numPr>
          <w:ilvl w:val="0"/>
          <w:numId w:val="21"/>
        </w:numPr>
      </w:pPr>
      <w:r>
        <w:t>Submissions received by the closing date will be considered but may not necessarily result in a change to the proposals following a review of all responses received.</w:t>
      </w:r>
    </w:p>
    <w:p w14:paraId="38DD0DDD" w14:textId="77777777" w:rsidR="00B16DEF" w:rsidRDefault="00B16DEF" w:rsidP="00C72B56">
      <w:pPr>
        <w:pStyle w:val="FSADocumentText"/>
        <w:numPr>
          <w:ilvl w:val="0"/>
          <w:numId w:val="21"/>
        </w:numPr>
      </w:pPr>
      <w:r>
        <w:t xml:space="preserve">Professional bodies, trade associations and other representative groups should provide a summary of the persons they </w:t>
      </w:r>
      <w:proofErr w:type="gramStart"/>
      <w:r>
        <w:t>represent</w:t>
      </w:r>
      <w:proofErr w:type="gramEnd"/>
      <w:r>
        <w:t xml:space="preserve"> and the method used to obtain input.</w:t>
      </w:r>
    </w:p>
    <w:p w14:paraId="1369AA02" w14:textId="77777777" w:rsidR="00B16DEF" w:rsidRDefault="00B16DEF" w:rsidP="00C72B56">
      <w:pPr>
        <w:pStyle w:val="FSADocumentText"/>
        <w:numPr>
          <w:ilvl w:val="0"/>
          <w:numId w:val="21"/>
        </w:numPr>
      </w:pPr>
      <w:r>
        <w:t>Anonymous submissions will not be considered or included in the Feedback Statement.</w:t>
      </w:r>
    </w:p>
    <w:p w14:paraId="2B195DCF" w14:textId="3CB86396" w:rsidR="00E74B73" w:rsidRDefault="00E74B73" w:rsidP="003563D2">
      <w:pPr>
        <w:pStyle w:val="FSADocumentText"/>
      </w:pPr>
    </w:p>
    <w:p w14:paraId="6CCF80DD" w14:textId="08AAD065" w:rsidR="00690F7A" w:rsidRDefault="00690F7A" w:rsidP="00690F7A">
      <w:pPr>
        <w:pStyle w:val="Heading2"/>
      </w:pPr>
      <w:bookmarkStart w:id="13" w:name="_Toc159403989"/>
      <w:bookmarkStart w:id="14" w:name="_Toc201927341"/>
      <w:r>
        <w:t xml:space="preserve">Confidentiality and </w:t>
      </w:r>
      <w:r w:rsidR="008979A7">
        <w:t>d</w:t>
      </w:r>
      <w:r>
        <w:t xml:space="preserve">ata </w:t>
      </w:r>
      <w:r w:rsidR="008979A7">
        <w:t>p</w:t>
      </w:r>
      <w:r>
        <w:t>rotection</w:t>
      </w:r>
      <w:bookmarkEnd w:id="13"/>
      <w:bookmarkEnd w:id="14"/>
    </w:p>
    <w:p w14:paraId="65D1006C" w14:textId="7CB70E66" w:rsidR="00B16DEF" w:rsidRPr="00384318" w:rsidRDefault="00B16DEF" w:rsidP="00C72B56">
      <w:pPr>
        <w:pStyle w:val="FSADocumentText"/>
      </w:pPr>
      <w:bookmarkStart w:id="15" w:name="_Hlk195626879"/>
      <w:r w:rsidRPr="00B02B09">
        <w:t>The information you send may be published in full or in a summary of responses</w:t>
      </w:r>
      <w:r w:rsidR="00F8675F">
        <w:t xml:space="preserve"> included in the Feedback Statement</w:t>
      </w:r>
      <w:r w:rsidRPr="00B02B09">
        <w:t xml:space="preserve">. All information in responses, including personal data, may be subject to publication or disclosure in accordance with the access to information regimes (these are primarily the </w:t>
      </w:r>
      <w:r w:rsidRPr="00384318">
        <w:t>Freedom of Information Act 2015 and the Data Protection Act 2018) with which the Authority is obliged to comply.</w:t>
      </w:r>
    </w:p>
    <w:p w14:paraId="1E0A1E6E" w14:textId="77777777" w:rsidR="00B16DEF" w:rsidRPr="00384318" w:rsidRDefault="00B16DEF" w:rsidP="00C72B56">
      <w:pPr>
        <w:pStyle w:val="FSADocumentText"/>
      </w:pPr>
    </w:p>
    <w:p w14:paraId="053E2AB8" w14:textId="77777777" w:rsidR="00B16DEF" w:rsidRPr="004A052B" w:rsidRDefault="00B16DEF" w:rsidP="00C72B56">
      <w:pPr>
        <w:pStyle w:val="FSADocumentText"/>
        <w:rPr>
          <w:b/>
          <w:bCs/>
        </w:rPr>
      </w:pPr>
      <w:r w:rsidRPr="004A052B">
        <w:rPr>
          <w:b/>
          <w:bCs/>
        </w:rPr>
        <w:t>If you want your response to remain confidential, you should explain why confidentiality is necessary and your request will be agreed to only if it is appropriate in the circumstances. An automatic confidentiality disclaimer generated by your IT system will not, of itself, be regarded as binding.</w:t>
      </w:r>
    </w:p>
    <w:p w14:paraId="3CF996A2" w14:textId="77777777" w:rsidR="00B16DEF" w:rsidRDefault="00B16DEF" w:rsidP="00C72B56">
      <w:pPr>
        <w:pStyle w:val="FSADocumentText"/>
      </w:pPr>
    </w:p>
    <w:p w14:paraId="4E148AC2" w14:textId="7A897B21" w:rsidR="00B16DEF" w:rsidRPr="00301785" w:rsidRDefault="00B16DEF" w:rsidP="00C72B56">
      <w:pPr>
        <w:pStyle w:val="FSADocumentText"/>
      </w:pPr>
      <w:r w:rsidRPr="00B02B09">
        <w:t xml:space="preserve">The Authority is registered with the Information Commissioner as a data controller under Isle of Man data protection legislation. It collects and processes personal data to carry out its functions under relevant legislation and may share personal data with other parties where there is a legal basis for doing so. Further information on how the Authority collects and processes personal data can be found in the </w:t>
      </w:r>
      <w:hyperlink r:id="rId20" w:history="1">
        <w:r w:rsidRPr="00914E1B">
          <w:rPr>
            <w:rStyle w:val="Hyperlink"/>
            <w:iCs/>
            <w:szCs w:val="20"/>
          </w:rPr>
          <w:t>Privacy Notice</w:t>
        </w:r>
      </w:hyperlink>
      <w:r w:rsidRPr="00B02B09">
        <w:t xml:space="preserve"> on the Authority’s website</w:t>
      </w:r>
      <w:r>
        <w:t>.</w:t>
      </w:r>
      <w:r>
        <w:rPr>
          <w:rStyle w:val="FootnoteReference"/>
          <w:iCs/>
          <w:szCs w:val="20"/>
        </w:rPr>
        <w:footnoteReference w:id="2"/>
      </w:r>
      <w:hyperlink r:id="rId21" w:history="1"/>
    </w:p>
    <w:bookmarkEnd w:id="15"/>
    <w:p w14:paraId="358D054A" w14:textId="77777777" w:rsidR="00690F7A" w:rsidRDefault="00690F7A" w:rsidP="001D1963">
      <w:pPr>
        <w:pStyle w:val="FSADocumentText"/>
      </w:pPr>
    </w:p>
    <w:p w14:paraId="79EE6A1A" w14:textId="33430710" w:rsidR="004753CE" w:rsidRPr="004753CE" w:rsidRDefault="002C7A1F" w:rsidP="004753CE">
      <w:pPr>
        <w:pStyle w:val="Heading1"/>
      </w:pPr>
      <w:bookmarkStart w:id="16" w:name="_Proposals"/>
      <w:bookmarkStart w:id="17" w:name="_Toc201927342"/>
      <w:bookmarkEnd w:id="16"/>
      <w:r>
        <w:t>Proposals</w:t>
      </w:r>
      <w:bookmarkEnd w:id="17"/>
    </w:p>
    <w:p w14:paraId="7CD3806D" w14:textId="3F5935A8" w:rsidR="00E74B73" w:rsidRDefault="005952EB" w:rsidP="00D86CDA">
      <w:pPr>
        <w:pStyle w:val="Heading2"/>
      </w:pPr>
      <w:bookmarkStart w:id="18" w:name="_Background"/>
      <w:bookmarkStart w:id="19" w:name="_Toc201927343"/>
      <w:bookmarkEnd w:id="18"/>
      <w:r>
        <w:t>Background</w:t>
      </w:r>
      <w:bookmarkEnd w:id="19"/>
    </w:p>
    <w:p w14:paraId="6724D5EC" w14:textId="7DAD3796" w:rsidR="00FC6D9C" w:rsidRDefault="005A22E2" w:rsidP="00E83C12">
      <w:pPr>
        <w:spacing w:after="0" w:line="240" w:lineRule="auto"/>
        <w:contextualSpacing/>
        <w:jc w:val="both"/>
        <w:rPr>
          <w:rFonts w:ascii="Calibri" w:hAnsi="Calibri" w:cs="Calibri"/>
          <w:szCs w:val="24"/>
        </w:rPr>
      </w:pPr>
      <w:r w:rsidRPr="001810FA">
        <w:rPr>
          <w:rFonts w:ascii="Calibri" w:hAnsi="Calibri" w:cs="Calibri"/>
          <w:szCs w:val="24"/>
        </w:rPr>
        <w:t xml:space="preserve">The </w:t>
      </w:r>
      <w:r w:rsidR="00FC6D9C">
        <w:rPr>
          <w:rFonts w:ascii="Calibri" w:hAnsi="Calibri" w:cs="Calibri"/>
          <w:szCs w:val="24"/>
        </w:rPr>
        <w:t>NSFR</w:t>
      </w:r>
      <w:r>
        <w:rPr>
          <w:rFonts w:ascii="Calibri" w:hAnsi="Calibri" w:cs="Calibri"/>
          <w:szCs w:val="24"/>
        </w:rPr>
        <w:t xml:space="preserve">, developed by the </w:t>
      </w:r>
      <w:r w:rsidRPr="005A22E2">
        <w:rPr>
          <w:rFonts w:ascii="Calibri" w:hAnsi="Calibri" w:cs="Calibri"/>
          <w:szCs w:val="24"/>
        </w:rPr>
        <w:t>Basel Committee</w:t>
      </w:r>
      <w:r>
        <w:rPr>
          <w:rFonts w:ascii="Calibri" w:hAnsi="Calibri" w:cs="Calibri"/>
          <w:szCs w:val="24"/>
        </w:rPr>
        <w:t>,</w:t>
      </w:r>
      <w:r w:rsidRPr="001810FA">
        <w:rPr>
          <w:rFonts w:ascii="Calibri" w:hAnsi="Calibri" w:cs="Calibri"/>
          <w:szCs w:val="24"/>
        </w:rPr>
        <w:t xml:space="preserve"> is one of </w:t>
      </w:r>
      <w:r w:rsidR="00FC6D9C" w:rsidRPr="00C657C7">
        <w:rPr>
          <w:rFonts w:ascii="Calibri" w:hAnsi="Calibri" w:cs="Calibri"/>
          <w:szCs w:val="24"/>
        </w:rPr>
        <w:t xml:space="preserve">two minimum standards </w:t>
      </w:r>
      <w:r w:rsidR="00FC6D9C">
        <w:rPr>
          <w:rFonts w:ascii="Calibri" w:hAnsi="Calibri" w:cs="Calibri"/>
          <w:szCs w:val="24"/>
        </w:rPr>
        <w:t xml:space="preserve">(the other being the </w:t>
      </w:r>
      <w:r w:rsidR="00FC6D9C" w:rsidRPr="0034243A">
        <w:rPr>
          <w:rFonts w:ascii="Calibri" w:hAnsi="Calibri" w:cs="Calibri"/>
          <w:szCs w:val="24"/>
        </w:rPr>
        <w:t>LCR</w:t>
      </w:r>
      <w:r w:rsidR="00FC6D9C">
        <w:rPr>
          <w:rFonts w:ascii="Calibri" w:hAnsi="Calibri" w:cs="Calibri"/>
          <w:szCs w:val="24"/>
        </w:rPr>
        <w:t xml:space="preserve">) </w:t>
      </w:r>
      <w:r w:rsidR="00FC6D9C" w:rsidRPr="00C657C7">
        <w:rPr>
          <w:rFonts w:ascii="Calibri" w:hAnsi="Calibri" w:cs="Calibri"/>
          <w:szCs w:val="24"/>
        </w:rPr>
        <w:t xml:space="preserve">for funding and liquidity with the specific objective of reducing funding risk over a one-year time horizon by requiring banks to fund their activities with sufficiently stable </w:t>
      </w:r>
      <w:r w:rsidR="00FC6D9C" w:rsidRPr="00C657C7">
        <w:rPr>
          <w:rFonts w:ascii="Calibri" w:hAnsi="Calibri" w:cs="Calibri"/>
          <w:szCs w:val="24"/>
        </w:rPr>
        <w:lastRenderedPageBreak/>
        <w:t xml:space="preserve">sources of funding </w:t>
      </w:r>
      <w:r w:rsidR="001A067C" w:rsidRPr="00C657C7">
        <w:rPr>
          <w:rFonts w:ascii="Calibri" w:hAnsi="Calibri" w:cs="Calibri"/>
          <w:szCs w:val="24"/>
        </w:rPr>
        <w:t>to</w:t>
      </w:r>
      <w:r w:rsidR="00FC6D9C" w:rsidRPr="00C657C7">
        <w:rPr>
          <w:rFonts w:ascii="Calibri" w:hAnsi="Calibri" w:cs="Calibri"/>
          <w:szCs w:val="24"/>
        </w:rPr>
        <w:t xml:space="preserve"> mitigate the risk of future funding stress. Banks are expected to meet the minimum requirements of the NSFR.</w:t>
      </w:r>
    </w:p>
    <w:p w14:paraId="44641340" w14:textId="77777777" w:rsidR="005A22E2" w:rsidRDefault="005A22E2" w:rsidP="00E83C12">
      <w:pPr>
        <w:spacing w:after="0" w:line="240" w:lineRule="auto"/>
        <w:contextualSpacing/>
        <w:rPr>
          <w:rFonts w:ascii="Calibri" w:hAnsi="Calibri" w:cs="Calibri"/>
          <w:szCs w:val="24"/>
        </w:rPr>
      </w:pPr>
    </w:p>
    <w:p w14:paraId="5E094B6A" w14:textId="527FB2A0" w:rsidR="00496633" w:rsidRPr="00057553" w:rsidRDefault="00496633" w:rsidP="00E83C12">
      <w:pPr>
        <w:spacing w:line="240" w:lineRule="auto"/>
        <w:jc w:val="both"/>
        <w:rPr>
          <w:rFonts w:ascii="Calibri" w:hAnsi="Calibri" w:cs="Calibri"/>
          <w:szCs w:val="24"/>
        </w:rPr>
      </w:pPr>
      <w:r w:rsidRPr="00057553">
        <w:rPr>
          <w:rFonts w:ascii="Calibri" w:hAnsi="Calibri" w:cs="Calibri"/>
          <w:szCs w:val="24"/>
        </w:rPr>
        <w:t xml:space="preserve">The </w:t>
      </w:r>
      <w:r>
        <w:rPr>
          <w:rFonts w:ascii="Calibri" w:hAnsi="Calibri" w:cs="Calibri"/>
          <w:szCs w:val="24"/>
        </w:rPr>
        <w:t xml:space="preserve">Basel Committee </w:t>
      </w:r>
      <w:r w:rsidRPr="00057553">
        <w:rPr>
          <w:rFonts w:ascii="Calibri" w:hAnsi="Calibri" w:cs="Calibri"/>
          <w:szCs w:val="24"/>
        </w:rPr>
        <w:t xml:space="preserve">also developed a set of liquidity risk monitoring tools to measure other dimensions of a bank’s liquidity and funding risk profile. These tools promote global consistency in supervising ongoing liquidity and funding risk exposures of banks, and in communicating these exposures to home and host supervisors. These tools are supplementary to both the LCR and the NSFR and are not covered in this </w:t>
      </w:r>
      <w:r>
        <w:rPr>
          <w:rFonts w:ascii="Calibri" w:hAnsi="Calibri" w:cs="Calibri"/>
          <w:szCs w:val="24"/>
        </w:rPr>
        <w:t>Paper</w:t>
      </w:r>
      <w:r w:rsidRPr="00057553">
        <w:rPr>
          <w:rFonts w:ascii="Calibri" w:hAnsi="Calibri" w:cs="Calibri"/>
          <w:szCs w:val="24"/>
        </w:rPr>
        <w:t>. However, the contractual maturity mismatch metric</w:t>
      </w:r>
      <w:r>
        <w:rPr>
          <w:rFonts w:ascii="Calibri" w:hAnsi="Calibri" w:cs="Calibri"/>
          <w:szCs w:val="24"/>
        </w:rPr>
        <w:t xml:space="preserve"> (</w:t>
      </w:r>
      <w:r w:rsidRPr="00496633">
        <w:rPr>
          <w:rFonts w:ascii="Calibri" w:hAnsi="Calibri" w:cs="Calibri"/>
          <w:i/>
          <w:iCs/>
          <w:szCs w:val="24"/>
        </w:rPr>
        <w:t>proposals for which will be covered in a future discussion paper</w:t>
      </w:r>
      <w:r>
        <w:rPr>
          <w:rFonts w:ascii="Calibri" w:hAnsi="Calibri" w:cs="Calibri"/>
          <w:szCs w:val="24"/>
        </w:rPr>
        <w:t>)</w:t>
      </w:r>
      <w:r w:rsidRPr="00057553">
        <w:rPr>
          <w:rFonts w:ascii="Calibri" w:hAnsi="Calibri" w:cs="Calibri"/>
          <w:szCs w:val="24"/>
        </w:rPr>
        <w:t xml:space="preserve">, particularly the elements that </w:t>
      </w:r>
      <w:proofErr w:type="gramStart"/>
      <w:r w:rsidRPr="00057553">
        <w:rPr>
          <w:rFonts w:ascii="Calibri" w:hAnsi="Calibri" w:cs="Calibri"/>
          <w:szCs w:val="24"/>
        </w:rPr>
        <w:t>take into account</w:t>
      </w:r>
      <w:proofErr w:type="gramEnd"/>
      <w:r w:rsidRPr="00057553">
        <w:rPr>
          <w:rFonts w:ascii="Calibri" w:hAnsi="Calibri" w:cs="Calibri"/>
          <w:szCs w:val="24"/>
        </w:rPr>
        <w:t xml:space="preserve"> assets and liabilities with residual maturity of more than one year, </w:t>
      </w:r>
      <w:r>
        <w:rPr>
          <w:rFonts w:ascii="Calibri" w:hAnsi="Calibri" w:cs="Calibri"/>
          <w:szCs w:val="24"/>
        </w:rPr>
        <w:t>are</w:t>
      </w:r>
      <w:r w:rsidRPr="00057553">
        <w:rPr>
          <w:rFonts w:ascii="Calibri" w:hAnsi="Calibri" w:cs="Calibri"/>
          <w:szCs w:val="24"/>
        </w:rPr>
        <w:t xml:space="preserve"> considered as a valuable monitoring tool to complement the NSFR.</w:t>
      </w:r>
    </w:p>
    <w:p w14:paraId="13970694" w14:textId="77777777" w:rsidR="008C3EAC" w:rsidRDefault="008C3EAC" w:rsidP="001D1963">
      <w:pPr>
        <w:spacing w:after="0" w:line="240" w:lineRule="auto"/>
        <w:contextualSpacing/>
        <w:jc w:val="both"/>
        <w:rPr>
          <w:rFonts w:ascii="Calibri" w:hAnsi="Calibri" w:cs="Calibri"/>
          <w:szCs w:val="24"/>
        </w:rPr>
      </w:pPr>
    </w:p>
    <w:p w14:paraId="1F3600B9" w14:textId="388D5932" w:rsidR="005A22E2" w:rsidRPr="005A22E2" w:rsidRDefault="00D81A0E" w:rsidP="00C72B56">
      <w:pPr>
        <w:pStyle w:val="Heading3"/>
      </w:pPr>
      <w:bookmarkStart w:id="20" w:name="_Toc201927344"/>
      <w:r>
        <w:t>The NSFR Scenario</w:t>
      </w:r>
      <w:bookmarkEnd w:id="20"/>
    </w:p>
    <w:p w14:paraId="08E8D482" w14:textId="77777777" w:rsidR="00D81A0E" w:rsidRDefault="00D81A0E" w:rsidP="00E83C12">
      <w:pPr>
        <w:spacing w:line="240" w:lineRule="auto"/>
        <w:contextualSpacing/>
        <w:jc w:val="both"/>
        <w:rPr>
          <w:szCs w:val="24"/>
        </w:rPr>
      </w:pPr>
      <w:r w:rsidRPr="005036A8">
        <w:rPr>
          <w:szCs w:val="24"/>
        </w:rPr>
        <w:t>The NSFR requires banks to maintain a stable funding profile in</w:t>
      </w:r>
      <w:r>
        <w:rPr>
          <w:szCs w:val="24"/>
        </w:rPr>
        <w:t xml:space="preserve"> </w:t>
      </w:r>
      <w:r w:rsidRPr="005036A8">
        <w:rPr>
          <w:szCs w:val="24"/>
        </w:rPr>
        <w:t>relation to the composition of their assets and off-balance sheet activities. A sustainable</w:t>
      </w:r>
      <w:r>
        <w:rPr>
          <w:szCs w:val="24"/>
        </w:rPr>
        <w:t xml:space="preserve"> </w:t>
      </w:r>
      <w:r w:rsidRPr="005036A8">
        <w:rPr>
          <w:szCs w:val="24"/>
        </w:rPr>
        <w:t>funding structure is intended to reduce the likelihood that disruptions to a bank’s regular</w:t>
      </w:r>
      <w:r>
        <w:rPr>
          <w:szCs w:val="24"/>
        </w:rPr>
        <w:t xml:space="preserve"> </w:t>
      </w:r>
      <w:r w:rsidRPr="005036A8">
        <w:rPr>
          <w:szCs w:val="24"/>
        </w:rPr>
        <w:t>sources of funding will erode its liquidity position in a way that would increase the risk of its</w:t>
      </w:r>
      <w:r>
        <w:rPr>
          <w:szCs w:val="24"/>
        </w:rPr>
        <w:t xml:space="preserve"> </w:t>
      </w:r>
      <w:r w:rsidRPr="005036A8">
        <w:rPr>
          <w:szCs w:val="24"/>
        </w:rPr>
        <w:t>failure and potentially lead to broader systemic stress. The NSFR limits overreliance on</w:t>
      </w:r>
      <w:r>
        <w:rPr>
          <w:szCs w:val="24"/>
        </w:rPr>
        <w:t xml:space="preserve"> </w:t>
      </w:r>
      <w:r w:rsidRPr="005036A8">
        <w:rPr>
          <w:szCs w:val="24"/>
        </w:rPr>
        <w:t>short-term wholesale funding, encourages better assessment of funding risk across all on</w:t>
      </w:r>
      <w:r>
        <w:rPr>
          <w:szCs w:val="24"/>
        </w:rPr>
        <w:t xml:space="preserve"> </w:t>
      </w:r>
      <w:r w:rsidRPr="005036A8">
        <w:rPr>
          <w:szCs w:val="24"/>
        </w:rPr>
        <w:t>and</w:t>
      </w:r>
      <w:r>
        <w:rPr>
          <w:szCs w:val="24"/>
        </w:rPr>
        <w:t xml:space="preserve"> </w:t>
      </w:r>
      <w:r w:rsidRPr="005036A8">
        <w:rPr>
          <w:szCs w:val="24"/>
        </w:rPr>
        <w:t>off-balance sheet items, and promotes funding stability.</w:t>
      </w:r>
    </w:p>
    <w:p w14:paraId="1B8D7AF0" w14:textId="77777777" w:rsidR="00D81A0E" w:rsidRDefault="00D81A0E" w:rsidP="00E83C12">
      <w:pPr>
        <w:spacing w:line="240" w:lineRule="auto"/>
        <w:contextualSpacing/>
        <w:jc w:val="both"/>
        <w:rPr>
          <w:szCs w:val="24"/>
        </w:rPr>
      </w:pPr>
    </w:p>
    <w:p w14:paraId="4092D3B4" w14:textId="77777777" w:rsidR="008436B6" w:rsidRDefault="00D81A0E" w:rsidP="00E83C12">
      <w:pPr>
        <w:spacing w:line="240" w:lineRule="auto"/>
        <w:contextualSpacing/>
        <w:jc w:val="both"/>
        <w:rPr>
          <w:szCs w:val="24"/>
        </w:rPr>
      </w:pPr>
      <w:r w:rsidRPr="005036A8">
        <w:rPr>
          <w:szCs w:val="24"/>
        </w:rPr>
        <w:t xml:space="preserve">The NSFR is defined as the amount of </w:t>
      </w:r>
      <w:r w:rsidRPr="00D81A0E">
        <w:rPr>
          <w:b/>
          <w:bCs/>
          <w:szCs w:val="24"/>
        </w:rPr>
        <w:t>available stable funding</w:t>
      </w:r>
      <w:r w:rsidRPr="005036A8">
        <w:rPr>
          <w:szCs w:val="24"/>
        </w:rPr>
        <w:t xml:space="preserve"> relative to the amount of</w:t>
      </w:r>
      <w:r>
        <w:rPr>
          <w:szCs w:val="24"/>
        </w:rPr>
        <w:t xml:space="preserve"> </w:t>
      </w:r>
      <w:r w:rsidRPr="00D81A0E">
        <w:rPr>
          <w:b/>
          <w:bCs/>
          <w:szCs w:val="24"/>
        </w:rPr>
        <w:t>required stable funding</w:t>
      </w:r>
      <w:r w:rsidRPr="005036A8">
        <w:rPr>
          <w:szCs w:val="24"/>
        </w:rPr>
        <w:t>.</w:t>
      </w:r>
    </w:p>
    <w:p w14:paraId="654A797F" w14:textId="77777777" w:rsidR="008436B6" w:rsidRDefault="008436B6" w:rsidP="00E83C12">
      <w:pPr>
        <w:spacing w:line="240" w:lineRule="auto"/>
        <w:contextualSpacing/>
        <w:jc w:val="both"/>
        <w:rPr>
          <w:szCs w:val="24"/>
        </w:rPr>
      </w:pPr>
    </w:p>
    <w:p w14:paraId="4D0CAD7D" w14:textId="5BD0689F" w:rsidR="008436B6" w:rsidRPr="00D10460" w:rsidRDefault="008436B6" w:rsidP="00E83C12">
      <w:pPr>
        <w:spacing w:line="240" w:lineRule="auto"/>
        <w:contextualSpacing/>
        <w:jc w:val="both"/>
        <w:rPr>
          <w:szCs w:val="24"/>
        </w:rPr>
      </w:pPr>
      <w:r w:rsidRPr="005036A8">
        <w:rPr>
          <w:szCs w:val="24"/>
        </w:rPr>
        <w:t xml:space="preserve">“Available </w:t>
      </w:r>
      <w:r>
        <w:rPr>
          <w:szCs w:val="24"/>
        </w:rPr>
        <w:t>S</w:t>
      </w:r>
      <w:r w:rsidRPr="005036A8">
        <w:rPr>
          <w:szCs w:val="24"/>
        </w:rPr>
        <w:t xml:space="preserve">table </w:t>
      </w:r>
      <w:r>
        <w:rPr>
          <w:szCs w:val="24"/>
        </w:rPr>
        <w:t>F</w:t>
      </w:r>
      <w:r w:rsidRPr="005036A8">
        <w:rPr>
          <w:szCs w:val="24"/>
        </w:rPr>
        <w:t>unding” is defined as the portion of capital and liabilities expected to be</w:t>
      </w:r>
      <w:r>
        <w:rPr>
          <w:szCs w:val="24"/>
        </w:rPr>
        <w:t xml:space="preserve"> </w:t>
      </w:r>
      <w:r w:rsidRPr="005036A8">
        <w:rPr>
          <w:szCs w:val="24"/>
        </w:rPr>
        <w:t>reliable over the one-year time horizon considered by the NSFR.</w:t>
      </w:r>
      <w:r w:rsidRPr="00D10460">
        <w:rPr>
          <w:szCs w:val="24"/>
          <w:highlight w:val="yellow"/>
        </w:rPr>
        <w:t xml:space="preserve"> </w:t>
      </w:r>
    </w:p>
    <w:p w14:paraId="7A685FA3" w14:textId="77777777" w:rsidR="008436B6" w:rsidRDefault="008436B6" w:rsidP="00E83C12">
      <w:pPr>
        <w:spacing w:line="240" w:lineRule="auto"/>
        <w:contextualSpacing/>
        <w:jc w:val="both"/>
        <w:rPr>
          <w:szCs w:val="24"/>
        </w:rPr>
      </w:pPr>
    </w:p>
    <w:p w14:paraId="1129D825" w14:textId="77777777" w:rsidR="008436B6" w:rsidRPr="00D10460" w:rsidRDefault="008436B6" w:rsidP="00E83C12">
      <w:pPr>
        <w:spacing w:line="240" w:lineRule="auto"/>
        <w:contextualSpacing/>
        <w:jc w:val="both"/>
        <w:rPr>
          <w:szCs w:val="24"/>
        </w:rPr>
      </w:pPr>
      <w:r w:rsidRPr="005036A8">
        <w:rPr>
          <w:szCs w:val="24"/>
        </w:rPr>
        <w:t>The amount of stable</w:t>
      </w:r>
      <w:r>
        <w:rPr>
          <w:szCs w:val="24"/>
        </w:rPr>
        <w:t xml:space="preserve"> </w:t>
      </w:r>
      <w:r w:rsidRPr="005036A8">
        <w:rPr>
          <w:szCs w:val="24"/>
        </w:rPr>
        <w:t>funding required ("</w:t>
      </w:r>
      <w:r>
        <w:rPr>
          <w:szCs w:val="24"/>
        </w:rPr>
        <w:t>R</w:t>
      </w:r>
      <w:r w:rsidRPr="005036A8">
        <w:rPr>
          <w:szCs w:val="24"/>
        </w:rPr>
        <w:t xml:space="preserve">equired </w:t>
      </w:r>
      <w:r>
        <w:rPr>
          <w:szCs w:val="24"/>
        </w:rPr>
        <w:t>S</w:t>
      </w:r>
      <w:r w:rsidRPr="005036A8">
        <w:rPr>
          <w:szCs w:val="24"/>
        </w:rPr>
        <w:t xml:space="preserve">table </w:t>
      </w:r>
      <w:r>
        <w:rPr>
          <w:szCs w:val="24"/>
        </w:rPr>
        <w:t>F</w:t>
      </w:r>
      <w:r w:rsidRPr="005036A8">
        <w:rPr>
          <w:szCs w:val="24"/>
        </w:rPr>
        <w:t xml:space="preserve">unding") of </w:t>
      </w:r>
      <w:r>
        <w:rPr>
          <w:szCs w:val="24"/>
        </w:rPr>
        <w:t>a bank</w:t>
      </w:r>
      <w:r w:rsidRPr="005036A8">
        <w:rPr>
          <w:szCs w:val="24"/>
        </w:rPr>
        <w:t xml:space="preserve"> is a function of the liquidity</w:t>
      </w:r>
      <w:r>
        <w:rPr>
          <w:szCs w:val="24"/>
        </w:rPr>
        <w:t xml:space="preserve"> </w:t>
      </w:r>
      <w:r w:rsidRPr="005036A8">
        <w:rPr>
          <w:szCs w:val="24"/>
        </w:rPr>
        <w:t xml:space="preserve">characteristics and residual maturities of the various assets held by that </w:t>
      </w:r>
      <w:r>
        <w:rPr>
          <w:szCs w:val="24"/>
        </w:rPr>
        <w:t xml:space="preserve">bank </w:t>
      </w:r>
      <w:r w:rsidRPr="005036A8">
        <w:rPr>
          <w:szCs w:val="24"/>
        </w:rPr>
        <w:t>as well</w:t>
      </w:r>
      <w:r>
        <w:rPr>
          <w:szCs w:val="24"/>
        </w:rPr>
        <w:t xml:space="preserve"> </w:t>
      </w:r>
      <w:r w:rsidRPr="005036A8">
        <w:rPr>
          <w:szCs w:val="24"/>
        </w:rPr>
        <w:t>as those of its off-balance sheet exposures.</w:t>
      </w:r>
      <w:r w:rsidRPr="00D10460">
        <w:rPr>
          <w:szCs w:val="24"/>
        </w:rPr>
        <w:t xml:space="preserve"> </w:t>
      </w:r>
    </w:p>
    <w:p w14:paraId="31448F00" w14:textId="77777777" w:rsidR="008C3EAC" w:rsidRDefault="008C3EAC" w:rsidP="001D1963">
      <w:pPr>
        <w:spacing w:after="0" w:line="240" w:lineRule="auto"/>
        <w:contextualSpacing/>
        <w:jc w:val="both"/>
        <w:rPr>
          <w:rFonts w:ascii="Calibri" w:hAnsi="Calibri" w:cs="Calibri"/>
          <w:b/>
          <w:bCs/>
          <w:szCs w:val="24"/>
        </w:rPr>
      </w:pPr>
    </w:p>
    <w:p w14:paraId="32993FA9" w14:textId="3BA88B2F" w:rsidR="00C01740" w:rsidRPr="003D0777" w:rsidRDefault="00D81A0E" w:rsidP="00C72B56">
      <w:pPr>
        <w:pStyle w:val="Heading3"/>
      </w:pPr>
      <w:bookmarkStart w:id="21" w:name="_Toc201927345"/>
      <w:r>
        <w:t>NSFR</w:t>
      </w:r>
      <w:r w:rsidR="00C01740" w:rsidRPr="003D0777">
        <w:t xml:space="preserve"> Minimum Requirements</w:t>
      </w:r>
      <w:bookmarkEnd w:id="21"/>
    </w:p>
    <w:p w14:paraId="793A1558" w14:textId="7523DFE4" w:rsidR="00D81A0E" w:rsidRPr="00D10460" w:rsidRDefault="00D81A0E" w:rsidP="00E83C12">
      <w:pPr>
        <w:spacing w:line="240" w:lineRule="auto"/>
        <w:contextualSpacing/>
        <w:jc w:val="both"/>
        <w:rPr>
          <w:szCs w:val="24"/>
        </w:rPr>
      </w:pPr>
      <w:r w:rsidRPr="005036A8">
        <w:rPr>
          <w:szCs w:val="24"/>
        </w:rPr>
        <w:t xml:space="preserve">The NSFR </w:t>
      </w:r>
      <w:r>
        <w:rPr>
          <w:szCs w:val="24"/>
        </w:rPr>
        <w:t>should</w:t>
      </w:r>
      <w:r w:rsidRPr="005036A8">
        <w:rPr>
          <w:szCs w:val="24"/>
        </w:rPr>
        <w:t xml:space="preserve"> be equal to at least 100% on an ongoing basis.</w:t>
      </w:r>
      <w:r>
        <w:rPr>
          <w:szCs w:val="24"/>
        </w:rPr>
        <w:t xml:space="preserve"> </w:t>
      </w:r>
      <w:r w:rsidRPr="0012525D">
        <w:rPr>
          <w:rFonts w:ascii="Calibri" w:hAnsi="Calibri" w:cs="Calibri"/>
          <w:szCs w:val="24"/>
        </w:rPr>
        <w:t>The Authority may also impose higher minimum or notification requirements on a bank.</w:t>
      </w:r>
    </w:p>
    <w:p w14:paraId="4451D1FF" w14:textId="77777777" w:rsidR="00D81A0E" w:rsidRDefault="00D81A0E" w:rsidP="00E83C12">
      <w:pPr>
        <w:spacing w:line="240" w:lineRule="auto"/>
        <w:contextualSpacing/>
        <w:rPr>
          <w:szCs w:val="24"/>
        </w:rPr>
      </w:pPr>
    </w:p>
    <w:p w14:paraId="11F1F563" w14:textId="77777777" w:rsidR="00D81A0E" w:rsidRPr="00D10460" w:rsidRDefault="00000000" w:rsidP="00E83C12">
      <w:pPr>
        <w:spacing w:line="240" w:lineRule="auto"/>
        <w:contextualSpacing/>
        <w:rPr>
          <w:i/>
          <w:iCs/>
          <w:szCs w:val="24"/>
        </w:rPr>
      </w:pPr>
      <m:oMathPara>
        <m:oMath>
          <m:f>
            <m:fPr>
              <m:ctrlPr>
                <w:rPr>
                  <w:rFonts w:ascii="Cambria Math" w:hAnsi="Cambria Math"/>
                  <w:i/>
                  <w:iCs/>
                  <w:szCs w:val="24"/>
                </w:rPr>
              </m:ctrlPr>
            </m:fPr>
            <m:num>
              <m:r>
                <m:rPr>
                  <m:nor/>
                </m:rPr>
                <w:rPr>
                  <w:rFonts w:ascii="Cambria Math" w:hAnsi="Cambria Math"/>
                  <w:i/>
                  <w:iCs/>
                  <w:szCs w:val="24"/>
                </w:rPr>
                <m:t>Available amount of stable funding</m:t>
              </m:r>
            </m:num>
            <m:den>
              <m:r>
                <m:rPr>
                  <m:nor/>
                </m:rPr>
                <w:rPr>
                  <w:rFonts w:ascii="Cambria Math" w:hAnsi="Cambria Math"/>
                  <w:i/>
                  <w:iCs/>
                  <w:szCs w:val="24"/>
                </w:rPr>
                <m:t>Required amount of stable funding</m:t>
              </m:r>
            </m:den>
          </m:f>
          <m:r>
            <w:rPr>
              <w:rFonts w:ascii="Cambria Math" w:hAnsi="Cambria Math"/>
              <w:szCs w:val="24"/>
            </w:rPr>
            <m:t>≥100%</m:t>
          </m:r>
        </m:oMath>
      </m:oMathPara>
    </w:p>
    <w:p w14:paraId="0A5F90F7" w14:textId="77777777" w:rsidR="00D81A0E" w:rsidRDefault="00D81A0E" w:rsidP="00E83C12">
      <w:pPr>
        <w:spacing w:line="240" w:lineRule="auto"/>
        <w:contextualSpacing/>
        <w:rPr>
          <w:szCs w:val="24"/>
        </w:rPr>
      </w:pPr>
    </w:p>
    <w:p w14:paraId="6B407125" w14:textId="2EA172FC" w:rsidR="00C01740" w:rsidRPr="00CB6C07" w:rsidRDefault="00E75173" w:rsidP="00E83C12">
      <w:pPr>
        <w:tabs>
          <w:tab w:val="left" w:pos="4678"/>
        </w:tabs>
        <w:spacing w:after="0" w:line="240" w:lineRule="auto"/>
        <w:contextualSpacing/>
        <w:jc w:val="both"/>
        <w:rPr>
          <w:rFonts w:ascii="Calibri" w:hAnsi="Calibri" w:cs="Calibri"/>
          <w:szCs w:val="24"/>
        </w:rPr>
      </w:pPr>
      <w:r>
        <w:rPr>
          <w:rFonts w:ascii="Calibri" w:hAnsi="Calibri" w:cs="Calibri"/>
          <w:szCs w:val="24"/>
        </w:rPr>
        <w:t xml:space="preserve">Proposals in respect of the Authority’s core regulatory requirements for the </w:t>
      </w:r>
      <w:r w:rsidR="008A5ED1">
        <w:rPr>
          <w:rFonts w:ascii="Calibri" w:hAnsi="Calibri" w:cs="Calibri"/>
          <w:szCs w:val="24"/>
        </w:rPr>
        <w:t>NSFR</w:t>
      </w:r>
      <w:r>
        <w:rPr>
          <w:rFonts w:ascii="Calibri" w:hAnsi="Calibri" w:cs="Calibri"/>
          <w:szCs w:val="24"/>
        </w:rPr>
        <w:t xml:space="preserve"> are covered in </w:t>
      </w:r>
      <w:hyperlink w:anchor="_Proposed_core_regulatory" w:history="1">
        <w:r w:rsidR="00652FAD">
          <w:t xml:space="preserve">section 3.2 (Proposed Core Regulatory Requirements for the </w:t>
        </w:r>
        <w:r w:rsidR="008A5ED1">
          <w:t>NSFR</w:t>
        </w:r>
        <w:r w:rsidR="00652FAD">
          <w:t>)</w:t>
        </w:r>
      </w:hyperlink>
      <w:r w:rsidR="00652FAD">
        <w:rPr>
          <w:rFonts w:ascii="Calibri" w:hAnsi="Calibri" w:cs="Calibri"/>
          <w:szCs w:val="24"/>
        </w:rPr>
        <w:t xml:space="preserve"> below</w:t>
      </w:r>
      <w:r>
        <w:rPr>
          <w:rFonts w:ascii="Calibri" w:hAnsi="Calibri" w:cs="Calibri"/>
          <w:szCs w:val="24"/>
        </w:rPr>
        <w:t xml:space="preserve">. </w:t>
      </w:r>
    </w:p>
    <w:p w14:paraId="32F54891" w14:textId="77777777" w:rsidR="002A26CA" w:rsidRDefault="002A26CA" w:rsidP="00496633">
      <w:pPr>
        <w:spacing w:after="0" w:line="240" w:lineRule="auto"/>
        <w:jc w:val="both"/>
      </w:pPr>
    </w:p>
    <w:p w14:paraId="36DA9446" w14:textId="57E352CA" w:rsidR="003F60DE" w:rsidRDefault="008C3EAC" w:rsidP="003F60DE">
      <w:pPr>
        <w:pStyle w:val="Heading2"/>
      </w:pPr>
      <w:bookmarkStart w:id="22" w:name="_Proposed_core_regulatory"/>
      <w:bookmarkStart w:id="23" w:name="_Proposed_core_Core"/>
      <w:bookmarkStart w:id="24" w:name="_Toc201927346"/>
      <w:bookmarkEnd w:id="22"/>
      <w:bookmarkEnd w:id="23"/>
      <w:r>
        <w:t xml:space="preserve">Proposed </w:t>
      </w:r>
      <w:r w:rsidR="00652FAD">
        <w:t xml:space="preserve">Core Regulatory Requirements </w:t>
      </w:r>
      <w:r>
        <w:t xml:space="preserve">for the </w:t>
      </w:r>
      <w:r w:rsidR="00FC6D9C">
        <w:t>NSFR</w:t>
      </w:r>
      <w:bookmarkEnd w:id="24"/>
    </w:p>
    <w:p w14:paraId="7E1ABE65" w14:textId="5B120C7B" w:rsidR="00135DAA" w:rsidRDefault="00AE1BDE" w:rsidP="001D1963">
      <w:pPr>
        <w:tabs>
          <w:tab w:val="left" w:pos="4678"/>
        </w:tabs>
        <w:spacing w:after="0" w:line="240" w:lineRule="auto"/>
        <w:contextualSpacing/>
        <w:jc w:val="both"/>
        <w:rPr>
          <w:rFonts w:ascii="Calibri" w:hAnsi="Calibri" w:cs="Calibri"/>
          <w:szCs w:val="24"/>
        </w:rPr>
      </w:pPr>
      <w:r>
        <w:rPr>
          <w:rFonts w:ascii="Calibri" w:hAnsi="Calibri" w:cs="Calibri"/>
          <w:szCs w:val="24"/>
        </w:rPr>
        <w:t>T</w:t>
      </w:r>
      <w:r w:rsidR="00135DAA" w:rsidRPr="00CB6C07">
        <w:rPr>
          <w:rFonts w:ascii="Calibri" w:hAnsi="Calibri" w:cs="Calibri"/>
          <w:szCs w:val="24"/>
        </w:rPr>
        <w:t>he</w:t>
      </w:r>
      <w:r w:rsidR="00AD0706">
        <w:rPr>
          <w:rFonts w:ascii="Calibri" w:hAnsi="Calibri" w:cs="Calibri"/>
          <w:szCs w:val="24"/>
        </w:rPr>
        <w:t xml:space="preserve"> minimum requirement is that a bank’s </w:t>
      </w:r>
      <w:r w:rsidR="008A5ED1">
        <w:rPr>
          <w:rFonts w:ascii="Calibri" w:hAnsi="Calibri" w:cs="Calibri"/>
          <w:szCs w:val="24"/>
        </w:rPr>
        <w:t>NSFR</w:t>
      </w:r>
      <w:r w:rsidR="00135DAA" w:rsidRPr="00CB6C07">
        <w:rPr>
          <w:rFonts w:ascii="Calibri" w:hAnsi="Calibri" w:cs="Calibri"/>
          <w:szCs w:val="24"/>
        </w:rPr>
        <w:t xml:space="preserve"> must be no lower than 100% on an ongoing basis</w:t>
      </w:r>
      <w:r w:rsidR="00AD0706">
        <w:rPr>
          <w:rFonts w:ascii="Calibri" w:hAnsi="Calibri" w:cs="Calibri"/>
          <w:szCs w:val="24"/>
        </w:rPr>
        <w:t>.</w:t>
      </w:r>
      <w:r w:rsidR="007117E7">
        <w:rPr>
          <w:rFonts w:ascii="Calibri" w:hAnsi="Calibri" w:cs="Calibri"/>
          <w:szCs w:val="24"/>
        </w:rPr>
        <w:t xml:space="preserve"> </w:t>
      </w:r>
      <w:r w:rsidR="009469A6">
        <w:rPr>
          <w:rFonts w:ascii="Calibri" w:hAnsi="Calibri" w:cs="Calibri"/>
          <w:szCs w:val="24"/>
        </w:rPr>
        <w:t>Higher minimum or notification requirements may also be imposed on an individual bank.</w:t>
      </w:r>
    </w:p>
    <w:p w14:paraId="28ECE87D" w14:textId="0154C7AA" w:rsidR="009469A6" w:rsidRDefault="009469A6" w:rsidP="001D1963">
      <w:pPr>
        <w:tabs>
          <w:tab w:val="left" w:pos="4678"/>
        </w:tabs>
        <w:spacing w:after="0" w:line="240" w:lineRule="auto"/>
        <w:contextualSpacing/>
        <w:jc w:val="both"/>
        <w:rPr>
          <w:rFonts w:ascii="Calibri" w:hAnsi="Calibri" w:cs="Calibri"/>
          <w:szCs w:val="24"/>
        </w:rPr>
      </w:pPr>
      <w:r>
        <w:rPr>
          <w:rFonts w:ascii="Calibri" w:hAnsi="Calibri" w:cs="Calibri"/>
          <w:szCs w:val="24"/>
        </w:rPr>
        <w:lastRenderedPageBreak/>
        <w:t>The Authority proposes to introduce the following core regulatory requirements</w:t>
      </w:r>
      <w:r w:rsidR="00CD5ADF">
        <w:rPr>
          <w:rFonts w:ascii="Calibri" w:hAnsi="Calibri" w:cs="Calibri"/>
          <w:szCs w:val="24"/>
        </w:rPr>
        <w:t xml:space="preserve"> specifically relating to the </w:t>
      </w:r>
      <w:r w:rsidR="008A5ED1">
        <w:rPr>
          <w:rFonts w:ascii="Calibri" w:hAnsi="Calibri" w:cs="Calibri"/>
          <w:szCs w:val="24"/>
        </w:rPr>
        <w:t>NSFR</w:t>
      </w:r>
      <w:r w:rsidR="00CD5ADF">
        <w:rPr>
          <w:rFonts w:ascii="Calibri" w:hAnsi="Calibri" w:cs="Calibri"/>
          <w:szCs w:val="24"/>
        </w:rPr>
        <w:t xml:space="preserve"> (similar to the existing provisions contained in rule 8.44</w:t>
      </w:r>
      <w:r w:rsidR="0008457B">
        <w:rPr>
          <w:rFonts w:ascii="Calibri" w:hAnsi="Calibri" w:cs="Calibri"/>
          <w:szCs w:val="24"/>
        </w:rPr>
        <w:t xml:space="preserve"> (</w:t>
      </w:r>
      <w:r w:rsidR="006A13FF">
        <w:rPr>
          <w:rFonts w:ascii="Calibri" w:hAnsi="Calibri" w:cs="Calibri"/>
          <w:szCs w:val="24"/>
        </w:rPr>
        <w:t>L</w:t>
      </w:r>
      <w:r w:rsidR="0008457B">
        <w:rPr>
          <w:rFonts w:ascii="Calibri" w:hAnsi="Calibri" w:cs="Calibri"/>
          <w:szCs w:val="24"/>
        </w:rPr>
        <w:t>iquidity management)</w:t>
      </w:r>
      <w:r w:rsidR="00CD5ADF">
        <w:rPr>
          <w:rFonts w:ascii="Calibri" w:hAnsi="Calibri" w:cs="Calibri"/>
          <w:szCs w:val="24"/>
        </w:rPr>
        <w:t xml:space="preserve"> of the </w:t>
      </w:r>
      <w:hyperlink r:id="rId22" w:history="1">
        <w:r w:rsidR="00CD5ADF" w:rsidRPr="0008457B">
          <w:rPr>
            <w:rStyle w:val="Hyperlink"/>
            <w:rFonts w:ascii="Calibri" w:hAnsi="Calibri" w:cs="Calibri"/>
            <w:szCs w:val="24"/>
          </w:rPr>
          <w:t>Financial Services Rule Boo</w:t>
        </w:r>
        <w:r w:rsidR="0008457B">
          <w:rPr>
            <w:rStyle w:val="Hyperlink"/>
            <w:rFonts w:ascii="Calibri" w:hAnsi="Calibri" w:cs="Calibri"/>
            <w:szCs w:val="24"/>
          </w:rPr>
          <w:t>k 2016</w:t>
        </w:r>
      </w:hyperlink>
      <w:r w:rsidR="00CD5ADF">
        <w:rPr>
          <w:rFonts w:ascii="Calibri" w:hAnsi="Calibri" w:cs="Calibri"/>
          <w:szCs w:val="24"/>
        </w:rPr>
        <w:t>)</w:t>
      </w:r>
      <w:r>
        <w:rPr>
          <w:rFonts w:ascii="Calibri" w:hAnsi="Calibri" w:cs="Calibri"/>
          <w:szCs w:val="24"/>
        </w:rPr>
        <w:t>:</w:t>
      </w:r>
    </w:p>
    <w:p w14:paraId="3DBED577" w14:textId="77777777" w:rsidR="009469A6" w:rsidRDefault="009469A6" w:rsidP="001D1963">
      <w:pPr>
        <w:tabs>
          <w:tab w:val="left" w:pos="4678"/>
        </w:tabs>
        <w:spacing w:after="0" w:line="240" w:lineRule="auto"/>
        <w:contextualSpacing/>
        <w:jc w:val="both"/>
        <w:rPr>
          <w:rFonts w:ascii="Calibri" w:hAnsi="Calibri" w:cs="Calibri"/>
          <w:szCs w:val="24"/>
        </w:rPr>
      </w:pPr>
    </w:p>
    <w:p w14:paraId="60BFE45C" w14:textId="1AE593AF" w:rsidR="00AD0706" w:rsidRDefault="009469A6" w:rsidP="001D1963">
      <w:pPr>
        <w:pStyle w:val="ListParagraph"/>
        <w:numPr>
          <w:ilvl w:val="0"/>
          <w:numId w:val="36"/>
        </w:numPr>
        <w:tabs>
          <w:tab w:val="left" w:pos="4678"/>
        </w:tabs>
        <w:spacing w:after="0" w:line="240" w:lineRule="auto"/>
        <w:jc w:val="both"/>
        <w:rPr>
          <w:rFonts w:ascii="Calibri" w:hAnsi="Calibri" w:cs="Calibri"/>
          <w:szCs w:val="24"/>
        </w:rPr>
      </w:pPr>
      <w:r>
        <w:rPr>
          <w:rFonts w:ascii="Calibri" w:hAnsi="Calibri" w:cs="Calibri"/>
          <w:szCs w:val="24"/>
        </w:rPr>
        <w:t xml:space="preserve">A requirement for </w:t>
      </w:r>
      <w:r w:rsidR="00CD5ADF">
        <w:rPr>
          <w:rFonts w:ascii="Calibri" w:hAnsi="Calibri" w:cs="Calibri"/>
          <w:szCs w:val="24"/>
        </w:rPr>
        <w:t>a bank</w:t>
      </w:r>
      <w:r>
        <w:rPr>
          <w:rFonts w:ascii="Calibri" w:hAnsi="Calibri" w:cs="Calibri"/>
          <w:szCs w:val="24"/>
        </w:rPr>
        <w:t xml:space="preserve"> incorporated in the Island to maintain </w:t>
      </w:r>
      <w:r w:rsidR="008A5ED1">
        <w:rPr>
          <w:rFonts w:ascii="Calibri" w:hAnsi="Calibri" w:cs="Calibri"/>
          <w:szCs w:val="24"/>
        </w:rPr>
        <w:t xml:space="preserve">funding </w:t>
      </w:r>
      <w:r>
        <w:rPr>
          <w:rFonts w:ascii="Calibri" w:hAnsi="Calibri" w:cs="Calibri"/>
          <w:szCs w:val="24"/>
        </w:rPr>
        <w:t xml:space="preserve">liquidity at or above </w:t>
      </w:r>
      <w:r w:rsidR="00C2202C">
        <w:rPr>
          <w:rFonts w:ascii="Calibri" w:hAnsi="Calibri" w:cs="Calibri"/>
          <w:szCs w:val="24"/>
        </w:rPr>
        <w:t xml:space="preserve">a </w:t>
      </w:r>
      <w:r>
        <w:rPr>
          <w:rFonts w:ascii="Calibri" w:hAnsi="Calibri" w:cs="Calibri"/>
          <w:szCs w:val="24"/>
        </w:rPr>
        <w:t xml:space="preserve">specified </w:t>
      </w:r>
      <w:r w:rsidR="00CD5ADF">
        <w:rPr>
          <w:rFonts w:ascii="Calibri" w:hAnsi="Calibri" w:cs="Calibri"/>
          <w:szCs w:val="24"/>
        </w:rPr>
        <w:t>“</w:t>
      </w:r>
      <w:r>
        <w:rPr>
          <w:rFonts w:ascii="Calibri" w:hAnsi="Calibri" w:cs="Calibri"/>
          <w:szCs w:val="24"/>
        </w:rPr>
        <w:t xml:space="preserve">minimum </w:t>
      </w:r>
      <w:r w:rsidR="008A5ED1">
        <w:rPr>
          <w:rFonts w:ascii="Calibri" w:hAnsi="Calibri" w:cs="Calibri"/>
          <w:szCs w:val="24"/>
        </w:rPr>
        <w:t xml:space="preserve">funding </w:t>
      </w:r>
      <w:r w:rsidR="00CD5ADF">
        <w:rPr>
          <w:rFonts w:ascii="Calibri" w:hAnsi="Calibri" w:cs="Calibri"/>
          <w:szCs w:val="24"/>
        </w:rPr>
        <w:t xml:space="preserve">liquidity </w:t>
      </w:r>
      <w:r>
        <w:rPr>
          <w:rFonts w:ascii="Calibri" w:hAnsi="Calibri" w:cs="Calibri"/>
          <w:szCs w:val="24"/>
        </w:rPr>
        <w:t>requirement</w:t>
      </w:r>
      <w:r w:rsidR="0008457B">
        <w:rPr>
          <w:rFonts w:ascii="Calibri" w:hAnsi="Calibri" w:cs="Calibri"/>
          <w:szCs w:val="24"/>
        </w:rPr>
        <w:t>”</w:t>
      </w:r>
      <w:r w:rsidR="00CD5ADF">
        <w:rPr>
          <w:rStyle w:val="FootnoteReference"/>
          <w:rFonts w:ascii="Calibri" w:hAnsi="Calibri" w:cs="Calibri"/>
          <w:szCs w:val="24"/>
        </w:rPr>
        <w:footnoteReference w:id="3"/>
      </w:r>
      <w:r w:rsidR="00E83C12">
        <w:rPr>
          <w:rFonts w:ascii="Calibri" w:hAnsi="Calibri" w:cs="Calibri"/>
          <w:szCs w:val="24"/>
        </w:rPr>
        <w:t>.</w:t>
      </w:r>
    </w:p>
    <w:p w14:paraId="2551F03B" w14:textId="1BB19A75" w:rsidR="00CD5ADF" w:rsidRDefault="00CD5ADF" w:rsidP="001D1963">
      <w:pPr>
        <w:pStyle w:val="ListParagraph"/>
        <w:numPr>
          <w:ilvl w:val="0"/>
          <w:numId w:val="36"/>
        </w:numPr>
        <w:tabs>
          <w:tab w:val="left" w:pos="4678"/>
        </w:tabs>
        <w:spacing w:after="0" w:line="240" w:lineRule="auto"/>
        <w:jc w:val="both"/>
        <w:rPr>
          <w:rFonts w:ascii="Calibri" w:hAnsi="Calibri" w:cs="Calibri"/>
          <w:szCs w:val="24"/>
        </w:rPr>
      </w:pPr>
      <w:r>
        <w:rPr>
          <w:rFonts w:ascii="Calibri" w:hAnsi="Calibri" w:cs="Calibri"/>
          <w:szCs w:val="24"/>
        </w:rPr>
        <w:t xml:space="preserve">A requirement for a bank to measure and monitor </w:t>
      </w:r>
      <w:r w:rsidR="008A5ED1">
        <w:rPr>
          <w:rFonts w:ascii="Calibri" w:hAnsi="Calibri" w:cs="Calibri"/>
          <w:szCs w:val="24"/>
        </w:rPr>
        <w:t xml:space="preserve">its funding </w:t>
      </w:r>
      <w:r>
        <w:rPr>
          <w:rFonts w:ascii="Calibri" w:hAnsi="Calibri" w:cs="Calibri"/>
          <w:szCs w:val="24"/>
        </w:rPr>
        <w:t>liquidity</w:t>
      </w:r>
      <w:r w:rsidR="00C81876">
        <w:rPr>
          <w:rFonts w:ascii="Calibri" w:hAnsi="Calibri" w:cs="Calibri"/>
          <w:szCs w:val="24"/>
        </w:rPr>
        <w:t xml:space="preserve"> on a </w:t>
      </w:r>
      <w:r w:rsidR="00C81876" w:rsidRPr="00C81876">
        <w:rPr>
          <w:rFonts w:ascii="Calibri" w:hAnsi="Calibri" w:cs="Calibri"/>
          <w:b/>
          <w:bCs/>
          <w:i/>
          <w:iCs/>
          <w:szCs w:val="24"/>
        </w:rPr>
        <w:t>periodic basis</w:t>
      </w:r>
      <w:r w:rsidR="00C81876">
        <w:rPr>
          <w:rStyle w:val="FootnoteReference"/>
          <w:rFonts w:ascii="Calibri" w:hAnsi="Calibri" w:cs="Calibri"/>
          <w:b/>
          <w:bCs/>
          <w:i/>
          <w:iCs/>
          <w:szCs w:val="24"/>
        </w:rPr>
        <w:footnoteReference w:id="4"/>
      </w:r>
      <w:r w:rsidR="00C81876" w:rsidRPr="00C81876">
        <w:rPr>
          <w:rFonts w:ascii="Calibri" w:hAnsi="Calibri" w:cs="Calibri"/>
          <w:b/>
          <w:bCs/>
          <w:i/>
          <w:iCs/>
          <w:szCs w:val="24"/>
        </w:rPr>
        <w:t xml:space="preserve"> </w:t>
      </w:r>
      <w:r>
        <w:rPr>
          <w:rFonts w:ascii="Calibri" w:hAnsi="Calibri" w:cs="Calibri"/>
          <w:szCs w:val="24"/>
        </w:rPr>
        <w:t xml:space="preserve">by </w:t>
      </w:r>
      <w:r w:rsidR="00C2202C">
        <w:rPr>
          <w:rFonts w:ascii="Calibri" w:hAnsi="Calibri" w:cs="Calibri"/>
          <w:szCs w:val="24"/>
        </w:rPr>
        <w:t>calculating</w:t>
      </w:r>
      <w:r>
        <w:rPr>
          <w:rFonts w:ascii="Calibri" w:hAnsi="Calibri" w:cs="Calibri"/>
          <w:szCs w:val="24"/>
        </w:rPr>
        <w:t xml:space="preserve"> the </w:t>
      </w:r>
      <w:r w:rsidR="008A5ED1">
        <w:rPr>
          <w:rFonts w:ascii="Calibri" w:hAnsi="Calibri" w:cs="Calibri"/>
          <w:szCs w:val="24"/>
        </w:rPr>
        <w:t xml:space="preserve">NSFR </w:t>
      </w:r>
      <w:r w:rsidR="004F0E59">
        <w:rPr>
          <w:rFonts w:ascii="Calibri" w:hAnsi="Calibri" w:cs="Calibri"/>
          <w:szCs w:val="24"/>
        </w:rPr>
        <w:t xml:space="preserve">– see </w:t>
      </w:r>
      <w:hyperlink w:anchor="_Proposed_Reporting_Forms" w:history="1">
        <w:r w:rsidR="00C46257">
          <w:rPr>
            <w:rStyle w:val="Hyperlink"/>
            <w:rFonts w:ascii="Calibri" w:hAnsi="Calibri" w:cs="Calibri"/>
            <w:szCs w:val="24"/>
          </w:rPr>
          <w:t>section 3.3 (Proposed Reporting Forms and Guidance)</w:t>
        </w:r>
      </w:hyperlink>
      <w:r w:rsidR="009A0AF7">
        <w:rPr>
          <w:rFonts w:ascii="Calibri" w:hAnsi="Calibri" w:cs="Calibri"/>
          <w:szCs w:val="24"/>
        </w:rPr>
        <w:t xml:space="preserve"> </w:t>
      </w:r>
      <w:r w:rsidR="004F0E59">
        <w:rPr>
          <w:rFonts w:ascii="Calibri" w:hAnsi="Calibri" w:cs="Calibri"/>
          <w:szCs w:val="24"/>
        </w:rPr>
        <w:t xml:space="preserve">for further information </w:t>
      </w:r>
      <w:r w:rsidR="0008457B">
        <w:rPr>
          <w:rFonts w:ascii="Calibri" w:hAnsi="Calibri" w:cs="Calibri"/>
          <w:szCs w:val="24"/>
        </w:rPr>
        <w:t>on</w:t>
      </w:r>
      <w:r w:rsidR="004F0E59">
        <w:rPr>
          <w:rFonts w:ascii="Calibri" w:hAnsi="Calibri" w:cs="Calibri"/>
          <w:szCs w:val="24"/>
        </w:rPr>
        <w:t xml:space="preserve"> the calculation</w:t>
      </w:r>
      <w:r w:rsidR="00DE462A">
        <w:rPr>
          <w:rFonts w:ascii="Calibri" w:hAnsi="Calibri" w:cs="Calibri"/>
          <w:szCs w:val="24"/>
        </w:rPr>
        <w:t>.</w:t>
      </w:r>
    </w:p>
    <w:p w14:paraId="6911C443" w14:textId="5BE00130" w:rsidR="00A907D1" w:rsidRPr="00A907D1" w:rsidRDefault="00CD5ADF" w:rsidP="001D1963">
      <w:pPr>
        <w:pStyle w:val="ListParagraph"/>
        <w:numPr>
          <w:ilvl w:val="0"/>
          <w:numId w:val="36"/>
        </w:numPr>
        <w:tabs>
          <w:tab w:val="left" w:pos="4678"/>
        </w:tabs>
        <w:spacing w:after="0" w:line="240" w:lineRule="auto"/>
        <w:jc w:val="both"/>
        <w:rPr>
          <w:rFonts w:ascii="Calibri" w:hAnsi="Calibri" w:cs="Calibri"/>
          <w:szCs w:val="24"/>
        </w:rPr>
      </w:pPr>
      <w:r>
        <w:rPr>
          <w:rFonts w:ascii="Calibri" w:hAnsi="Calibri" w:cs="Calibri"/>
          <w:szCs w:val="24"/>
        </w:rPr>
        <w:t xml:space="preserve">A requirement for a bank to notify the Authority if at any time, including in relation </w:t>
      </w:r>
      <w:r w:rsidR="00C2202C">
        <w:rPr>
          <w:rFonts w:ascii="Calibri" w:hAnsi="Calibri" w:cs="Calibri"/>
          <w:szCs w:val="24"/>
        </w:rPr>
        <w:t xml:space="preserve">to </w:t>
      </w:r>
      <w:r>
        <w:rPr>
          <w:rFonts w:ascii="Calibri" w:hAnsi="Calibri" w:cs="Calibri"/>
          <w:szCs w:val="24"/>
        </w:rPr>
        <w:t xml:space="preserve">periods of financial stress, it has reason to believe that its </w:t>
      </w:r>
      <w:r w:rsidR="008A5ED1">
        <w:rPr>
          <w:rFonts w:ascii="Calibri" w:hAnsi="Calibri" w:cs="Calibri"/>
          <w:szCs w:val="24"/>
        </w:rPr>
        <w:t>NSFR</w:t>
      </w:r>
      <w:r>
        <w:rPr>
          <w:rFonts w:ascii="Calibri" w:hAnsi="Calibri" w:cs="Calibri"/>
          <w:szCs w:val="24"/>
        </w:rPr>
        <w:t xml:space="preserve"> is below the minimum </w:t>
      </w:r>
      <w:r w:rsidR="008A5ED1">
        <w:rPr>
          <w:rFonts w:ascii="Calibri" w:hAnsi="Calibri" w:cs="Calibri"/>
          <w:szCs w:val="24"/>
        </w:rPr>
        <w:t xml:space="preserve">funding </w:t>
      </w:r>
      <w:r>
        <w:rPr>
          <w:rFonts w:ascii="Calibri" w:hAnsi="Calibri" w:cs="Calibri"/>
          <w:szCs w:val="24"/>
        </w:rPr>
        <w:t xml:space="preserve">liquidity requirement or is expected to fall below the minimum </w:t>
      </w:r>
      <w:r w:rsidR="008A5ED1">
        <w:rPr>
          <w:rFonts w:ascii="Calibri" w:hAnsi="Calibri" w:cs="Calibri"/>
          <w:szCs w:val="24"/>
        </w:rPr>
        <w:t xml:space="preserve">funding </w:t>
      </w:r>
      <w:r>
        <w:rPr>
          <w:rFonts w:ascii="Calibri" w:hAnsi="Calibri" w:cs="Calibri"/>
          <w:szCs w:val="24"/>
        </w:rPr>
        <w:t>liquidity requirement</w:t>
      </w:r>
      <w:r w:rsidR="00DE462A">
        <w:rPr>
          <w:rFonts w:ascii="Calibri" w:hAnsi="Calibri" w:cs="Calibri"/>
          <w:szCs w:val="24"/>
        </w:rPr>
        <w:t>.</w:t>
      </w:r>
    </w:p>
    <w:p w14:paraId="360A6763" w14:textId="60BB6664" w:rsidR="004F0E59" w:rsidRDefault="004F0E59" w:rsidP="001D1963">
      <w:pPr>
        <w:pStyle w:val="ListParagraph"/>
        <w:numPr>
          <w:ilvl w:val="0"/>
          <w:numId w:val="36"/>
        </w:numPr>
        <w:tabs>
          <w:tab w:val="left" w:pos="4678"/>
        </w:tabs>
        <w:spacing w:after="0" w:line="240" w:lineRule="auto"/>
        <w:jc w:val="both"/>
        <w:rPr>
          <w:rFonts w:ascii="Calibri" w:hAnsi="Calibri" w:cs="Calibri"/>
          <w:szCs w:val="24"/>
        </w:rPr>
      </w:pPr>
      <w:r>
        <w:rPr>
          <w:rFonts w:ascii="Calibri" w:hAnsi="Calibri" w:cs="Calibri"/>
          <w:szCs w:val="24"/>
        </w:rPr>
        <w:t xml:space="preserve">A requirement for a bank to remedy the breach of the minimum </w:t>
      </w:r>
      <w:r w:rsidR="008A5ED1">
        <w:rPr>
          <w:rFonts w:ascii="Calibri" w:hAnsi="Calibri" w:cs="Calibri"/>
          <w:szCs w:val="24"/>
        </w:rPr>
        <w:t xml:space="preserve">funding </w:t>
      </w:r>
      <w:r>
        <w:rPr>
          <w:rFonts w:ascii="Calibri" w:hAnsi="Calibri" w:cs="Calibri"/>
          <w:szCs w:val="24"/>
        </w:rPr>
        <w:t>liquidity requirement and take appropriate action</w:t>
      </w:r>
      <w:r w:rsidR="00C81876">
        <w:rPr>
          <w:rFonts w:ascii="Calibri" w:hAnsi="Calibri" w:cs="Calibri"/>
          <w:szCs w:val="24"/>
        </w:rPr>
        <w:t xml:space="preserve"> within a reasonable timeframe.</w:t>
      </w:r>
    </w:p>
    <w:p w14:paraId="3CA881E7" w14:textId="684FC07B" w:rsidR="00AD0706" w:rsidRDefault="004F0E59" w:rsidP="001D1963">
      <w:pPr>
        <w:pStyle w:val="ListParagraph"/>
        <w:numPr>
          <w:ilvl w:val="0"/>
          <w:numId w:val="36"/>
        </w:numPr>
        <w:tabs>
          <w:tab w:val="left" w:pos="4678"/>
        </w:tabs>
        <w:spacing w:after="0" w:line="240" w:lineRule="auto"/>
        <w:jc w:val="both"/>
        <w:rPr>
          <w:rFonts w:ascii="Calibri" w:hAnsi="Calibri" w:cs="Calibri"/>
          <w:szCs w:val="24"/>
        </w:rPr>
      </w:pPr>
      <w:r w:rsidRPr="004F0E59">
        <w:rPr>
          <w:rFonts w:ascii="Calibri" w:hAnsi="Calibri" w:cs="Calibri"/>
          <w:szCs w:val="24"/>
        </w:rPr>
        <w:t xml:space="preserve">Reporting requirements in respect of the </w:t>
      </w:r>
      <w:r w:rsidR="008A5ED1">
        <w:rPr>
          <w:rFonts w:ascii="Calibri" w:hAnsi="Calibri" w:cs="Calibri"/>
          <w:szCs w:val="24"/>
        </w:rPr>
        <w:t>NSFR</w:t>
      </w:r>
      <w:r w:rsidRPr="004F0E59">
        <w:rPr>
          <w:rFonts w:ascii="Calibri" w:hAnsi="Calibri" w:cs="Calibri"/>
          <w:szCs w:val="24"/>
        </w:rPr>
        <w:t xml:space="preserve"> </w:t>
      </w:r>
      <w:r w:rsidR="0008457B">
        <w:rPr>
          <w:rFonts w:ascii="Calibri" w:hAnsi="Calibri" w:cs="Calibri"/>
          <w:szCs w:val="24"/>
        </w:rPr>
        <w:t>–</w:t>
      </w:r>
      <w:r w:rsidR="0008457B" w:rsidRPr="004F0E59">
        <w:rPr>
          <w:rFonts w:ascii="Calibri" w:hAnsi="Calibri" w:cs="Calibri"/>
          <w:szCs w:val="24"/>
        </w:rPr>
        <w:t xml:space="preserve"> </w:t>
      </w:r>
      <w:r w:rsidRPr="00C81876">
        <w:rPr>
          <w:rFonts w:ascii="Calibri" w:hAnsi="Calibri" w:cs="Calibri"/>
          <w:szCs w:val="24"/>
        </w:rPr>
        <w:t xml:space="preserve">see </w:t>
      </w:r>
      <w:hyperlink w:anchor="_NSFR_Proposed_Frequency" w:history="1">
        <w:r w:rsidR="0008457B" w:rsidRPr="00C81876">
          <w:rPr>
            <w:rStyle w:val="Hyperlink"/>
            <w:rFonts w:ascii="Calibri" w:hAnsi="Calibri" w:cs="Calibri"/>
            <w:szCs w:val="24"/>
          </w:rPr>
          <w:t>section 3.4 (</w:t>
        </w:r>
        <w:r w:rsidR="00C81876" w:rsidRPr="00C81876">
          <w:rPr>
            <w:rStyle w:val="Hyperlink"/>
            <w:rFonts w:ascii="Calibri" w:hAnsi="Calibri" w:cs="Calibri"/>
            <w:szCs w:val="24"/>
          </w:rPr>
          <w:t>NSFR</w:t>
        </w:r>
        <w:r w:rsidR="0008457B" w:rsidRPr="00C81876">
          <w:rPr>
            <w:rStyle w:val="Hyperlink"/>
            <w:rFonts w:ascii="Calibri" w:hAnsi="Calibri" w:cs="Calibri"/>
            <w:szCs w:val="24"/>
          </w:rPr>
          <w:t xml:space="preserve"> Proposed Frequency of Reporting)</w:t>
        </w:r>
      </w:hyperlink>
      <w:r w:rsidRPr="00C81876">
        <w:rPr>
          <w:rFonts w:ascii="Calibri" w:hAnsi="Calibri" w:cs="Calibri"/>
          <w:b/>
          <w:bCs/>
          <w:szCs w:val="24"/>
        </w:rPr>
        <w:t xml:space="preserve"> </w:t>
      </w:r>
      <w:r w:rsidRPr="00C81876">
        <w:rPr>
          <w:rFonts w:ascii="Calibri" w:hAnsi="Calibri" w:cs="Calibri"/>
          <w:szCs w:val="24"/>
        </w:rPr>
        <w:t>for proposals.</w:t>
      </w:r>
    </w:p>
    <w:p w14:paraId="37CE6529" w14:textId="77777777" w:rsidR="001D1963" w:rsidRPr="001D1963" w:rsidRDefault="001D1963" w:rsidP="001D1963">
      <w:pPr>
        <w:tabs>
          <w:tab w:val="left" w:pos="4678"/>
        </w:tabs>
        <w:spacing w:after="0" w:line="240" w:lineRule="auto"/>
        <w:jc w:val="both"/>
        <w:rPr>
          <w:rFonts w:ascii="Calibri" w:hAnsi="Calibri" w:cs="Calibri"/>
          <w:szCs w:val="24"/>
        </w:rPr>
      </w:pPr>
    </w:p>
    <w:p w14:paraId="659B9A82" w14:textId="15978CAF" w:rsidR="00A907D1" w:rsidRDefault="0009049D" w:rsidP="001D1963">
      <w:pPr>
        <w:spacing w:after="0" w:line="240" w:lineRule="auto"/>
        <w:jc w:val="both"/>
      </w:pPr>
      <w:r>
        <w:t xml:space="preserve">In respect of the implementation of </w:t>
      </w:r>
      <w:r w:rsidR="00A907D1">
        <w:t>requirements</w:t>
      </w:r>
      <w:r>
        <w:t>, these</w:t>
      </w:r>
      <w:r w:rsidR="00A907D1">
        <w:t xml:space="preserve"> are ultimately proposed to be </w:t>
      </w:r>
      <w:r>
        <w:t xml:space="preserve">brought in </w:t>
      </w:r>
      <w:r w:rsidR="00A907D1">
        <w:t xml:space="preserve">through amendments to the </w:t>
      </w:r>
      <w:hyperlink r:id="rId23" w:history="1">
        <w:r w:rsidR="00A907D1" w:rsidRPr="0008457B">
          <w:rPr>
            <w:rStyle w:val="Hyperlink"/>
          </w:rPr>
          <w:t>Financial Services Rule Book</w:t>
        </w:r>
        <w:r w:rsidR="0008457B" w:rsidRPr="0008457B">
          <w:rPr>
            <w:rStyle w:val="Hyperlink"/>
          </w:rPr>
          <w:t xml:space="preserve"> 2016</w:t>
        </w:r>
      </w:hyperlink>
      <w:r>
        <w:t xml:space="preserve">, as part of the full suite of amended liquidity requirements (for example including the </w:t>
      </w:r>
      <w:r w:rsidR="008A5ED1">
        <w:t>LCR</w:t>
      </w:r>
      <w:r>
        <w:t>, other liquidity monitoring metrics, and wider liquidity management requirements)</w:t>
      </w:r>
      <w:r w:rsidR="00A907D1">
        <w:t>.</w:t>
      </w:r>
      <w:r w:rsidR="007117E7">
        <w:t xml:space="preserve"> </w:t>
      </w:r>
      <w:r w:rsidR="00A907D1">
        <w:t xml:space="preserve">Prior to this, and subject to views, certain </w:t>
      </w:r>
      <w:r w:rsidR="008A5ED1">
        <w:t>NSFR</w:t>
      </w:r>
      <w:r w:rsidR="00BE569F">
        <w:t xml:space="preserve"> </w:t>
      </w:r>
      <w:r w:rsidR="00A907D1">
        <w:t>requirements</w:t>
      </w:r>
      <w:r>
        <w:t xml:space="preserve"> </w:t>
      </w:r>
      <w:r w:rsidR="00A907D1">
        <w:t xml:space="preserve">would initially be implemented through </w:t>
      </w:r>
      <w:r w:rsidR="00A907D1" w:rsidRPr="0009049D">
        <w:t>issu</w:t>
      </w:r>
      <w:r w:rsidR="00BE569F">
        <w:t>ing</w:t>
      </w:r>
      <w:r w:rsidR="00A907D1" w:rsidRPr="0009049D">
        <w:t xml:space="preserve"> directions to banks</w:t>
      </w:r>
      <w:r w:rsidRPr="0009049D">
        <w:t xml:space="preserve"> incorporated in the Island – this is explained further in </w:t>
      </w:r>
      <w:hyperlink w:anchor="_Transition_and_implementation" w:history="1">
        <w:r w:rsidR="0008457B" w:rsidRPr="005A5D1C">
          <w:rPr>
            <w:rStyle w:val="Hyperlink"/>
          </w:rPr>
          <w:t>section 3.</w:t>
        </w:r>
        <w:r w:rsidR="005A5D1C" w:rsidRPr="005A5D1C">
          <w:rPr>
            <w:rStyle w:val="Hyperlink"/>
          </w:rPr>
          <w:t>5</w:t>
        </w:r>
        <w:r w:rsidR="0008457B" w:rsidRPr="005A5D1C">
          <w:rPr>
            <w:rStyle w:val="Hyperlink"/>
          </w:rPr>
          <w:t xml:space="preserve"> (Transition and Implementation)</w:t>
        </w:r>
      </w:hyperlink>
      <w:r w:rsidR="00A907D1" w:rsidRPr="005A5D1C">
        <w:t>.</w:t>
      </w:r>
    </w:p>
    <w:p w14:paraId="02C55301" w14:textId="77777777" w:rsidR="00C91019" w:rsidRDefault="00C91019" w:rsidP="001D1963">
      <w:pPr>
        <w:spacing w:after="0" w:line="240" w:lineRule="auto"/>
        <w:jc w:val="both"/>
      </w:pPr>
    </w:p>
    <w:p w14:paraId="386BE405" w14:textId="77777777" w:rsidR="00961511" w:rsidRDefault="00C91019" w:rsidP="001D1963">
      <w:pPr>
        <w:spacing w:after="0" w:line="240" w:lineRule="auto"/>
        <w:jc w:val="both"/>
      </w:pPr>
      <w:r>
        <w:t xml:space="preserve">Further, in relation to (c) and (d) above, </w:t>
      </w:r>
      <w:r w:rsidR="00DE462A">
        <w:t>it is proposed that</w:t>
      </w:r>
      <w:r w:rsidR="00961511">
        <w:t>:</w:t>
      </w:r>
    </w:p>
    <w:p w14:paraId="6C7DE6AE" w14:textId="5A9E692E" w:rsidR="00C91019" w:rsidRDefault="00DE462A" w:rsidP="00F650EA">
      <w:pPr>
        <w:pStyle w:val="ListParagraph"/>
        <w:numPr>
          <w:ilvl w:val="0"/>
          <w:numId w:val="42"/>
        </w:numPr>
        <w:spacing w:after="0" w:line="240" w:lineRule="auto"/>
        <w:jc w:val="both"/>
      </w:pPr>
      <w:r>
        <w:t xml:space="preserve">a </w:t>
      </w:r>
      <w:r w:rsidR="00C91019">
        <w:t xml:space="preserve">bank would be </w:t>
      </w:r>
      <w:r>
        <w:t>expected</w:t>
      </w:r>
      <w:r w:rsidR="00C91019">
        <w:t xml:space="preserve"> to present an assessment to the Authority</w:t>
      </w:r>
      <w:r w:rsidR="00C91019" w:rsidRPr="00961511">
        <w:rPr>
          <w:rFonts w:ascii="Calibri" w:hAnsi="Calibri" w:cs="Calibri"/>
          <w:szCs w:val="24"/>
        </w:rPr>
        <w:t xml:space="preserve"> of its </w:t>
      </w:r>
      <w:r w:rsidR="008B2377">
        <w:rPr>
          <w:rFonts w:ascii="Calibri" w:hAnsi="Calibri" w:cs="Calibri"/>
          <w:szCs w:val="24"/>
        </w:rPr>
        <w:t xml:space="preserve">funding </w:t>
      </w:r>
      <w:r w:rsidR="00C91019" w:rsidRPr="00961511">
        <w:rPr>
          <w:rFonts w:ascii="Calibri" w:hAnsi="Calibri" w:cs="Calibri"/>
          <w:szCs w:val="24"/>
        </w:rPr>
        <w:t>liquidity position, including:</w:t>
      </w:r>
    </w:p>
    <w:p w14:paraId="3509A78A" w14:textId="77777777" w:rsidR="00C91019" w:rsidRPr="00C91019" w:rsidRDefault="00C91019" w:rsidP="001D1963">
      <w:pPr>
        <w:spacing w:after="0" w:line="240" w:lineRule="auto"/>
        <w:jc w:val="both"/>
      </w:pPr>
    </w:p>
    <w:p w14:paraId="35078AA3" w14:textId="019041F7" w:rsidR="00C91019" w:rsidRDefault="00C91019" w:rsidP="001D1963">
      <w:pPr>
        <w:pStyle w:val="ListParagraph"/>
        <w:numPr>
          <w:ilvl w:val="0"/>
          <w:numId w:val="27"/>
        </w:numPr>
        <w:spacing w:after="0" w:line="240" w:lineRule="auto"/>
        <w:jc w:val="both"/>
        <w:rPr>
          <w:rFonts w:ascii="Calibri" w:hAnsi="Calibri" w:cs="Calibri"/>
          <w:szCs w:val="24"/>
        </w:rPr>
      </w:pPr>
      <w:r>
        <w:rPr>
          <w:rFonts w:ascii="Calibri" w:hAnsi="Calibri" w:cs="Calibri"/>
          <w:szCs w:val="24"/>
        </w:rPr>
        <w:t>T</w:t>
      </w:r>
      <w:r w:rsidRPr="007575AB">
        <w:rPr>
          <w:rFonts w:ascii="Calibri" w:hAnsi="Calibri" w:cs="Calibri"/>
          <w:szCs w:val="24"/>
        </w:rPr>
        <w:t xml:space="preserve">he factors that contributed to its </w:t>
      </w:r>
      <w:r w:rsidR="008B2377">
        <w:rPr>
          <w:rFonts w:ascii="Calibri" w:hAnsi="Calibri" w:cs="Calibri"/>
          <w:szCs w:val="24"/>
        </w:rPr>
        <w:t>NSFR</w:t>
      </w:r>
      <w:r w:rsidRPr="007575AB">
        <w:rPr>
          <w:rFonts w:ascii="Calibri" w:hAnsi="Calibri" w:cs="Calibri"/>
          <w:szCs w:val="24"/>
        </w:rPr>
        <w:t xml:space="preserve"> </w:t>
      </w:r>
      <w:r w:rsidR="00E00AB3">
        <w:rPr>
          <w:rFonts w:ascii="Calibri" w:hAnsi="Calibri" w:cs="Calibri"/>
          <w:szCs w:val="24"/>
        </w:rPr>
        <w:t xml:space="preserve">expecting to fall below, or </w:t>
      </w:r>
      <w:r w:rsidRPr="007575AB">
        <w:rPr>
          <w:rFonts w:ascii="Calibri" w:hAnsi="Calibri" w:cs="Calibri"/>
          <w:szCs w:val="24"/>
        </w:rPr>
        <w:t>falling below</w:t>
      </w:r>
      <w:r w:rsidR="00E00AB3">
        <w:rPr>
          <w:rFonts w:ascii="Calibri" w:hAnsi="Calibri" w:cs="Calibri"/>
          <w:szCs w:val="24"/>
        </w:rPr>
        <w:t>,</w:t>
      </w:r>
      <w:r w:rsidRPr="007575AB">
        <w:rPr>
          <w:rFonts w:ascii="Calibri" w:hAnsi="Calibri" w:cs="Calibri"/>
          <w:szCs w:val="24"/>
        </w:rPr>
        <w:t xml:space="preserve"> </w:t>
      </w:r>
      <w:r w:rsidR="00E00AB3">
        <w:rPr>
          <w:rFonts w:ascii="Calibri" w:hAnsi="Calibri" w:cs="Calibri"/>
          <w:szCs w:val="24"/>
        </w:rPr>
        <w:t xml:space="preserve">the minimum </w:t>
      </w:r>
      <w:r w:rsidR="008B2377">
        <w:rPr>
          <w:rFonts w:ascii="Calibri" w:hAnsi="Calibri" w:cs="Calibri"/>
          <w:szCs w:val="24"/>
        </w:rPr>
        <w:t xml:space="preserve">funding </w:t>
      </w:r>
      <w:r w:rsidR="00E00AB3">
        <w:rPr>
          <w:rFonts w:ascii="Calibri" w:hAnsi="Calibri" w:cs="Calibri"/>
          <w:szCs w:val="24"/>
        </w:rPr>
        <w:t xml:space="preserve">liquidity </w:t>
      </w:r>
      <w:proofErr w:type="gramStart"/>
      <w:r w:rsidR="00E00AB3">
        <w:rPr>
          <w:rFonts w:ascii="Calibri" w:hAnsi="Calibri" w:cs="Calibri"/>
          <w:szCs w:val="24"/>
        </w:rPr>
        <w:t>requirement</w:t>
      </w:r>
      <w:r w:rsidR="00B7553A">
        <w:rPr>
          <w:rFonts w:ascii="Calibri" w:hAnsi="Calibri" w:cs="Calibri"/>
          <w:szCs w:val="24"/>
        </w:rPr>
        <w:t>;</w:t>
      </w:r>
      <w:proofErr w:type="gramEnd"/>
    </w:p>
    <w:p w14:paraId="7D5E5891" w14:textId="77777777" w:rsidR="00C91019" w:rsidRDefault="00C91019" w:rsidP="001D1963">
      <w:pPr>
        <w:pStyle w:val="ListParagraph"/>
        <w:numPr>
          <w:ilvl w:val="0"/>
          <w:numId w:val="27"/>
        </w:numPr>
        <w:spacing w:after="0" w:line="240" w:lineRule="auto"/>
        <w:jc w:val="both"/>
        <w:rPr>
          <w:rFonts w:ascii="Calibri" w:hAnsi="Calibri" w:cs="Calibri"/>
          <w:szCs w:val="24"/>
        </w:rPr>
      </w:pPr>
      <w:r>
        <w:rPr>
          <w:rFonts w:ascii="Calibri" w:hAnsi="Calibri" w:cs="Calibri"/>
          <w:szCs w:val="24"/>
        </w:rPr>
        <w:t>T</w:t>
      </w:r>
      <w:r w:rsidRPr="007575AB">
        <w:rPr>
          <w:rFonts w:ascii="Calibri" w:hAnsi="Calibri" w:cs="Calibri"/>
          <w:szCs w:val="24"/>
        </w:rPr>
        <w:t>he measures that have been and will be taken</w:t>
      </w:r>
      <w:r>
        <w:rPr>
          <w:rFonts w:ascii="Calibri" w:hAnsi="Calibri" w:cs="Calibri"/>
          <w:szCs w:val="24"/>
        </w:rPr>
        <w:t xml:space="preserve">; </w:t>
      </w:r>
      <w:r w:rsidRPr="007575AB">
        <w:rPr>
          <w:rFonts w:ascii="Calibri" w:hAnsi="Calibri" w:cs="Calibri"/>
          <w:szCs w:val="24"/>
        </w:rPr>
        <w:t>and</w:t>
      </w:r>
    </w:p>
    <w:p w14:paraId="2778AC36" w14:textId="1245A9A8" w:rsidR="00C91019" w:rsidRDefault="00C91019" w:rsidP="001D1963">
      <w:pPr>
        <w:pStyle w:val="ListParagraph"/>
        <w:numPr>
          <w:ilvl w:val="0"/>
          <w:numId w:val="27"/>
        </w:numPr>
        <w:spacing w:after="0" w:line="240" w:lineRule="auto"/>
        <w:jc w:val="both"/>
        <w:rPr>
          <w:rFonts w:ascii="Calibri" w:hAnsi="Calibri" w:cs="Calibri"/>
          <w:szCs w:val="24"/>
        </w:rPr>
      </w:pPr>
      <w:r>
        <w:rPr>
          <w:rFonts w:ascii="Calibri" w:hAnsi="Calibri" w:cs="Calibri"/>
          <w:szCs w:val="24"/>
        </w:rPr>
        <w:t>T</w:t>
      </w:r>
      <w:r w:rsidRPr="007575AB">
        <w:rPr>
          <w:rFonts w:ascii="Calibri" w:hAnsi="Calibri" w:cs="Calibri"/>
          <w:szCs w:val="24"/>
        </w:rPr>
        <w:t xml:space="preserve">he expectations on the potential </w:t>
      </w:r>
      <w:r w:rsidR="005B5489">
        <w:rPr>
          <w:rFonts w:ascii="Calibri" w:hAnsi="Calibri" w:cs="Calibri"/>
          <w:szCs w:val="24"/>
        </w:rPr>
        <w:t>duration</w:t>
      </w:r>
      <w:r w:rsidR="005B5489" w:rsidRPr="007575AB">
        <w:rPr>
          <w:rFonts w:ascii="Calibri" w:hAnsi="Calibri" w:cs="Calibri"/>
          <w:szCs w:val="24"/>
        </w:rPr>
        <w:t xml:space="preserve"> </w:t>
      </w:r>
      <w:r w:rsidRPr="007575AB">
        <w:rPr>
          <w:rFonts w:ascii="Calibri" w:hAnsi="Calibri" w:cs="Calibri"/>
          <w:szCs w:val="24"/>
        </w:rPr>
        <w:t>of the situation.</w:t>
      </w:r>
    </w:p>
    <w:p w14:paraId="5B735F12" w14:textId="77777777" w:rsidR="00C91019" w:rsidRDefault="00C91019" w:rsidP="001D1963">
      <w:pPr>
        <w:spacing w:after="0" w:line="240" w:lineRule="auto"/>
        <w:jc w:val="both"/>
        <w:rPr>
          <w:rFonts w:ascii="Calibri" w:hAnsi="Calibri" w:cs="Calibri"/>
          <w:szCs w:val="24"/>
        </w:rPr>
      </w:pPr>
    </w:p>
    <w:p w14:paraId="5994A2AA" w14:textId="15DCADDF" w:rsidR="00BE569F" w:rsidRPr="00F650EA" w:rsidRDefault="00C91019" w:rsidP="00F650EA">
      <w:pPr>
        <w:pStyle w:val="ListParagraph"/>
        <w:numPr>
          <w:ilvl w:val="0"/>
          <w:numId w:val="42"/>
        </w:numPr>
        <w:spacing w:after="0" w:line="240" w:lineRule="auto"/>
        <w:jc w:val="both"/>
        <w:rPr>
          <w:rFonts w:ascii="Calibri" w:hAnsi="Calibri" w:cs="Calibri"/>
          <w:szCs w:val="24"/>
        </w:rPr>
      </w:pPr>
      <w:r w:rsidRPr="00F650EA">
        <w:rPr>
          <w:rFonts w:ascii="Calibri" w:hAnsi="Calibri" w:cs="Calibri"/>
          <w:szCs w:val="24"/>
        </w:rPr>
        <w:t>Enhanced reporting to the Authority, commensurate with the duration of the shortfall will generally be required.</w:t>
      </w:r>
    </w:p>
    <w:p w14:paraId="057CE5C0" w14:textId="77777777" w:rsidR="00BE569F" w:rsidRDefault="00BE569F" w:rsidP="001D1963">
      <w:pPr>
        <w:spacing w:after="0" w:line="240" w:lineRule="auto"/>
        <w:jc w:val="both"/>
        <w:rPr>
          <w:rFonts w:ascii="Calibri" w:hAnsi="Calibri" w:cs="Calibri"/>
          <w:szCs w:val="24"/>
        </w:rPr>
      </w:pPr>
    </w:p>
    <w:p w14:paraId="5029EDB0" w14:textId="4E070EB7" w:rsidR="00BE569F" w:rsidRPr="00F650EA" w:rsidRDefault="00C91019" w:rsidP="00F650EA">
      <w:pPr>
        <w:pStyle w:val="ListParagraph"/>
        <w:numPr>
          <w:ilvl w:val="0"/>
          <w:numId w:val="42"/>
        </w:numPr>
        <w:spacing w:after="0" w:line="240" w:lineRule="auto"/>
        <w:jc w:val="both"/>
        <w:rPr>
          <w:rFonts w:ascii="Calibri" w:hAnsi="Calibri" w:cs="Calibri"/>
          <w:szCs w:val="24"/>
        </w:rPr>
      </w:pPr>
      <w:r w:rsidRPr="00F650EA">
        <w:rPr>
          <w:rFonts w:ascii="Calibri" w:hAnsi="Calibri" w:cs="Calibri"/>
          <w:szCs w:val="24"/>
        </w:rPr>
        <w:t>The Authority may also require a bank to take action to reduce its exposure to liquidity risk, strengthen its overall liquidity risk management, or improve its contingency funding plan.</w:t>
      </w:r>
      <w:r w:rsidR="007117E7" w:rsidRPr="00F650EA">
        <w:rPr>
          <w:rFonts w:ascii="Calibri" w:hAnsi="Calibri" w:cs="Calibri"/>
          <w:szCs w:val="24"/>
        </w:rPr>
        <w:t xml:space="preserve"> </w:t>
      </w:r>
    </w:p>
    <w:p w14:paraId="38192EFA" w14:textId="205D53AF" w:rsidR="00A907D1" w:rsidRDefault="00C91019" w:rsidP="004426EB">
      <w:pPr>
        <w:spacing w:after="0" w:line="240" w:lineRule="auto"/>
        <w:jc w:val="both"/>
        <w:rPr>
          <w:rFonts w:ascii="Calibri" w:hAnsi="Calibri" w:cs="Calibri"/>
          <w:szCs w:val="24"/>
        </w:rPr>
      </w:pPr>
      <w:r>
        <w:rPr>
          <w:rFonts w:ascii="Calibri" w:hAnsi="Calibri" w:cs="Calibri"/>
          <w:szCs w:val="24"/>
        </w:rPr>
        <w:lastRenderedPageBreak/>
        <w:t xml:space="preserve">These regulatory expectations will eventually be incorporated into </w:t>
      </w:r>
      <w:r w:rsidR="007F4C74">
        <w:rPr>
          <w:rFonts w:ascii="Calibri" w:hAnsi="Calibri" w:cs="Calibri"/>
          <w:szCs w:val="24"/>
        </w:rPr>
        <w:t>updated</w:t>
      </w:r>
      <w:r>
        <w:rPr>
          <w:rFonts w:ascii="Calibri" w:hAnsi="Calibri" w:cs="Calibri"/>
          <w:szCs w:val="24"/>
        </w:rPr>
        <w:t xml:space="preserve"> </w:t>
      </w:r>
      <w:r w:rsidR="007F4C74">
        <w:rPr>
          <w:rFonts w:ascii="Calibri" w:hAnsi="Calibri" w:cs="Calibri"/>
          <w:szCs w:val="24"/>
        </w:rPr>
        <w:t>regulatory guidance pertaining to liquidity</w:t>
      </w:r>
      <w:r w:rsidR="006D4BF4">
        <w:rPr>
          <w:rFonts w:ascii="Calibri" w:hAnsi="Calibri" w:cs="Calibri"/>
          <w:szCs w:val="24"/>
        </w:rPr>
        <w:t>, and where applicable, recovery planning guidance</w:t>
      </w:r>
      <w:r w:rsidR="007F4C74">
        <w:rPr>
          <w:rFonts w:ascii="Calibri" w:hAnsi="Calibri" w:cs="Calibri"/>
          <w:szCs w:val="24"/>
        </w:rPr>
        <w:t>.</w:t>
      </w:r>
    </w:p>
    <w:p w14:paraId="09D0856F" w14:textId="77777777" w:rsidR="00E74B73" w:rsidRDefault="00E74B73" w:rsidP="001D1963">
      <w:pPr>
        <w:pStyle w:val="FSADocumentText"/>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9812EE" w:rsidRPr="00031DE2" w14:paraId="4BB5E6F4" w14:textId="77777777" w:rsidTr="00014790">
        <w:tc>
          <w:tcPr>
            <w:tcW w:w="5000" w:type="pct"/>
            <w:shd w:val="clear" w:color="auto" w:fill="005782"/>
          </w:tcPr>
          <w:p w14:paraId="5050ED8C" w14:textId="77777777" w:rsidR="009812EE" w:rsidRPr="00031DE2" w:rsidRDefault="009812EE" w:rsidP="00014790">
            <w:pPr>
              <w:rPr>
                <w:color w:val="FFFFFF" w:themeColor="background1"/>
              </w:rPr>
            </w:pPr>
            <w:r w:rsidRPr="00031DE2">
              <w:rPr>
                <w:color w:val="FFFFFF" w:themeColor="background1"/>
              </w:rPr>
              <w:t xml:space="preserve">Question </w:t>
            </w:r>
            <w:r>
              <w:rPr>
                <w:color w:val="FFFFFF" w:themeColor="background1"/>
              </w:rPr>
              <w:t>1</w:t>
            </w:r>
          </w:p>
        </w:tc>
      </w:tr>
      <w:tr w:rsidR="009812EE" w:rsidRPr="00D726E3" w14:paraId="2AF51B42" w14:textId="77777777" w:rsidTr="00014790">
        <w:tc>
          <w:tcPr>
            <w:tcW w:w="5000" w:type="pct"/>
            <w:shd w:val="clear" w:color="auto" w:fill="CAD8D7"/>
          </w:tcPr>
          <w:p w14:paraId="1C6A0957" w14:textId="7E704C67" w:rsidR="009812EE" w:rsidRPr="00D726E3" w:rsidRDefault="009812EE" w:rsidP="00014790">
            <w:pPr>
              <w:jc w:val="both"/>
            </w:pPr>
            <w:r w:rsidRPr="006D39FE">
              <w:rPr>
                <w:rFonts w:ascii="Calibri" w:hAnsi="Calibri" w:cs="Calibri"/>
                <w:szCs w:val="24"/>
              </w:rPr>
              <w:t xml:space="preserve">Do you agree with the proposed core regulatory requirements in respect of the </w:t>
            </w:r>
            <w:r w:rsidR="008B2377">
              <w:rPr>
                <w:rFonts w:ascii="Calibri" w:hAnsi="Calibri" w:cs="Calibri"/>
                <w:szCs w:val="24"/>
              </w:rPr>
              <w:t>NSFR</w:t>
            </w:r>
            <w:r w:rsidRPr="006D39FE">
              <w:rPr>
                <w:rFonts w:ascii="Calibri" w:hAnsi="Calibri" w:cs="Calibri"/>
                <w:szCs w:val="24"/>
              </w:rPr>
              <w:t>?</w:t>
            </w:r>
            <w:r>
              <w:rPr>
                <w:rFonts w:ascii="Calibri" w:hAnsi="Calibri" w:cs="Calibri"/>
                <w:szCs w:val="24"/>
              </w:rPr>
              <w:t xml:space="preserve"> </w:t>
            </w:r>
            <w:r w:rsidRPr="006D39FE">
              <w:rPr>
                <w:rFonts w:ascii="Calibri" w:hAnsi="Calibri" w:cs="Calibri"/>
                <w:szCs w:val="24"/>
              </w:rPr>
              <w:t>If not, please provide additional information</w:t>
            </w:r>
            <w:r w:rsidRPr="006D39FE">
              <w:rPr>
                <w:rFonts w:ascii="Calibri" w:hAnsi="Calibri" w:cs="Calibri"/>
                <w:i/>
                <w:iCs/>
                <w:szCs w:val="24"/>
              </w:rPr>
              <w:t>.</w:t>
            </w:r>
          </w:p>
        </w:tc>
      </w:tr>
    </w:tbl>
    <w:p w14:paraId="4DAEDAF8" w14:textId="77777777" w:rsidR="009812EE" w:rsidRDefault="009812EE" w:rsidP="001D1963">
      <w:pPr>
        <w:pStyle w:val="FSADocumentText"/>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9812EE" w:rsidRPr="00031DE2" w14:paraId="534D7707" w14:textId="77777777" w:rsidTr="00014790">
        <w:tc>
          <w:tcPr>
            <w:tcW w:w="5000" w:type="pct"/>
            <w:shd w:val="clear" w:color="auto" w:fill="005782"/>
          </w:tcPr>
          <w:p w14:paraId="21EB19E7" w14:textId="77777777" w:rsidR="009812EE" w:rsidRPr="00031DE2" w:rsidRDefault="009812EE" w:rsidP="00014790">
            <w:pPr>
              <w:rPr>
                <w:color w:val="FFFFFF" w:themeColor="background1"/>
              </w:rPr>
            </w:pPr>
            <w:r w:rsidRPr="00031DE2">
              <w:rPr>
                <w:color w:val="FFFFFF" w:themeColor="background1"/>
              </w:rPr>
              <w:t xml:space="preserve">Question </w:t>
            </w:r>
            <w:r>
              <w:rPr>
                <w:color w:val="FFFFFF" w:themeColor="background1"/>
              </w:rPr>
              <w:t>2</w:t>
            </w:r>
          </w:p>
        </w:tc>
      </w:tr>
      <w:tr w:rsidR="009812EE" w:rsidRPr="00093B9B" w14:paraId="619D56E6" w14:textId="77777777" w:rsidTr="00014790">
        <w:tc>
          <w:tcPr>
            <w:tcW w:w="5000" w:type="pct"/>
            <w:shd w:val="clear" w:color="auto" w:fill="CAD8D7"/>
          </w:tcPr>
          <w:p w14:paraId="5DDC25A7" w14:textId="7A5657CB" w:rsidR="009812EE" w:rsidRPr="00093B9B" w:rsidRDefault="009812EE" w:rsidP="00014790">
            <w:pPr>
              <w:jc w:val="both"/>
            </w:pPr>
            <w:r w:rsidRPr="00093B9B">
              <w:rPr>
                <w:rFonts w:ascii="Calibri" w:hAnsi="Calibri" w:cs="Calibri"/>
                <w:szCs w:val="24"/>
              </w:rPr>
              <w:t>Do you have any other observations to make in relation to the</w:t>
            </w:r>
            <w:r>
              <w:rPr>
                <w:rFonts w:ascii="Calibri" w:hAnsi="Calibri" w:cs="Calibri"/>
                <w:szCs w:val="24"/>
              </w:rPr>
              <w:t>se proposals?</w:t>
            </w:r>
          </w:p>
        </w:tc>
      </w:tr>
    </w:tbl>
    <w:p w14:paraId="109954BC" w14:textId="77777777" w:rsidR="008B2377" w:rsidRPr="008B2377" w:rsidRDefault="008B2377" w:rsidP="008B2377">
      <w:bookmarkStart w:id="25" w:name="_Proposed_reporting_Reporting"/>
      <w:bookmarkEnd w:id="25"/>
    </w:p>
    <w:p w14:paraId="0896F69C" w14:textId="353014C3" w:rsidR="00E74B73" w:rsidRPr="00D32F3E" w:rsidRDefault="008C3EAC" w:rsidP="00E74B73">
      <w:pPr>
        <w:pStyle w:val="Heading2"/>
      </w:pPr>
      <w:bookmarkStart w:id="26" w:name="_Proposed_Reporting_Forms"/>
      <w:bookmarkStart w:id="27" w:name="_Toc201927347"/>
      <w:bookmarkEnd w:id="26"/>
      <w:r w:rsidRPr="00D32F3E">
        <w:t xml:space="preserve">Proposed </w:t>
      </w:r>
      <w:r w:rsidR="006A13FF">
        <w:t>R</w:t>
      </w:r>
      <w:r w:rsidR="006A13FF" w:rsidRPr="00D32F3E">
        <w:t xml:space="preserve">eporting </w:t>
      </w:r>
      <w:r w:rsidR="006A13FF">
        <w:t>F</w:t>
      </w:r>
      <w:r w:rsidR="006A13FF" w:rsidRPr="00D32F3E">
        <w:t xml:space="preserve">orms </w:t>
      </w:r>
      <w:r w:rsidRPr="00D32F3E">
        <w:t xml:space="preserve">and </w:t>
      </w:r>
      <w:r w:rsidR="006A13FF">
        <w:t>G</w:t>
      </w:r>
      <w:r w:rsidR="006A13FF" w:rsidRPr="00D32F3E">
        <w:t>uidance</w:t>
      </w:r>
      <w:bookmarkEnd w:id="27"/>
    </w:p>
    <w:p w14:paraId="362DA1DF" w14:textId="7A87EFD7" w:rsidR="003F60DE" w:rsidRDefault="003F60DE" w:rsidP="001D1963">
      <w:pPr>
        <w:spacing w:after="0" w:line="240" w:lineRule="auto"/>
        <w:contextualSpacing/>
        <w:jc w:val="both"/>
        <w:rPr>
          <w:rFonts w:ascii="Calibri" w:hAnsi="Calibri" w:cs="Calibri"/>
          <w:szCs w:val="24"/>
        </w:rPr>
      </w:pPr>
      <w:r>
        <w:rPr>
          <w:rFonts w:ascii="Calibri" w:hAnsi="Calibri" w:cs="Calibri"/>
          <w:szCs w:val="24"/>
        </w:rPr>
        <w:t xml:space="preserve">The </w:t>
      </w:r>
      <w:r w:rsidR="0009049D">
        <w:rPr>
          <w:rFonts w:ascii="Calibri" w:hAnsi="Calibri" w:cs="Calibri"/>
          <w:szCs w:val="24"/>
        </w:rPr>
        <w:t xml:space="preserve">proposed </w:t>
      </w:r>
      <w:r w:rsidR="008B2377">
        <w:rPr>
          <w:rFonts w:ascii="Calibri" w:hAnsi="Calibri" w:cs="Calibri"/>
          <w:szCs w:val="24"/>
        </w:rPr>
        <w:t>NSFR</w:t>
      </w:r>
      <w:r w:rsidRPr="00DE462A">
        <w:rPr>
          <w:rFonts w:ascii="Calibri" w:hAnsi="Calibri" w:cs="Calibri"/>
          <w:szCs w:val="24"/>
        </w:rPr>
        <w:t xml:space="preserve"> Reporting Form</w:t>
      </w:r>
      <w:r w:rsidR="00C91019">
        <w:rPr>
          <w:rFonts w:ascii="Calibri" w:hAnsi="Calibri" w:cs="Calibri"/>
          <w:szCs w:val="24"/>
        </w:rPr>
        <w:t xml:space="preserve"> and associated guidance </w:t>
      </w:r>
      <w:r w:rsidR="0009049D">
        <w:rPr>
          <w:rFonts w:ascii="Calibri" w:hAnsi="Calibri" w:cs="Calibri"/>
          <w:szCs w:val="24"/>
        </w:rPr>
        <w:t>will</w:t>
      </w:r>
      <w:r>
        <w:rPr>
          <w:rFonts w:ascii="Calibri" w:hAnsi="Calibri" w:cs="Calibri"/>
          <w:szCs w:val="24"/>
        </w:rPr>
        <w:t xml:space="preserve"> only </w:t>
      </w:r>
      <w:r w:rsidR="006A13FF">
        <w:rPr>
          <w:rFonts w:ascii="Calibri" w:hAnsi="Calibri" w:cs="Calibri"/>
          <w:szCs w:val="24"/>
        </w:rPr>
        <w:t>apply</w:t>
      </w:r>
      <w:r>
        <w:rPr>
          <w:rFonts w:ascii="Calibri" w:hAnsi="Calibri" w:cs="Calibri"/>
          <w:szCs w:val="24"/>
        </w:rPr>
        <w:t xml:space="preserve"> to banks incorporated in the Isle of Man.</w:t>
      </w:r>
    </w:p>
    <w:p w14:paraId="0FA7B0EC" w14:textId="77777777" w:rsidR="003F60DE" w:rsidRDefault="003F60DE" w:rsidP="001D1963">
      <w:pPr>
        <w:spacing w:after="0" w:line="240" w:lineRule="auto"/>
        <w:contextualSpacing/>
        <w:rPr>
          <w:rFonts w:ascii="Calibri" w:hAnsi="Calibri" w:cs="Calibri"/>
          <w:szCs w:val="24"/>
        </w:rPr>
      </w:pPr>
    </w:p>
    <w:p w14:paraId="2F3AF719" w14:textId="5C86575B" w:rsidR="003F60DE" w:rsidRDefault="003F60DE" w:rsidP="001D1963">
      <w:pPr>
        <w:spacing w:after="0" w:line="240" w:lineRule="auto"/>
        <w:contextualSpacing/>
        <w:jc w:val="both"/>
        <w:rPr>
          <w:rFonts w:ascii="Calibri" w:hAnsi="Calibri" w:cs="Calibri"/>
          <w:szCs w:val="24"/>
        </w:rPr>
      </w:pPr>
      <w:r w:rsidRPr="007D6DA0">
        <w:rPr>
          <w:rFonts w:ascii="Calibri" w:hAnsi="Calibri" w:cs="Calibri"/>
          <w:szCs w:val="24"/>
        </w:rPr>
        <w:t xml:space="preserve">Rule 2.20(1) </w:t>
      </w:r>
      <w:r w:rsidR="006A13FF">
        <w:rPr>
          <w:rFonts w:ascii="Calibri" w:hAnsi="Calibri" w:cs="Calibri"/>
          <w:szCs w:val="24"/>
        </w:rPr>
        <w:t xml:space="preserve">(Deposit taking returns – Isle of Man incorporated) </w:t>
      </w:r>
      <w:r w:rsidR="00C91019">
        <w:rPr>
          <w:rFonts w:ascii="Calibri" w:hAnsi="Calibri" w:cs="Calibri"/>
          <w:szCs w:val="24"/>
        </w:rPr>
        <w:t xml:space="preserve">of the </w:t>
      </w:r>
      <w:hyperlink r:id="rId24" w:history="1">
        <w:r w:rsidR="00C91019" w:rsidRPr="006A13FF">
          <w:rPr>
            <w:rStyle w:val="Hyperlink"/>
            <w:rFonts w:ascii="Calibri" w:hAnsi="Calibri" w:cs="Calibri"/>
            <w:szCs w:val="24"/>
          </w:rPr>
          <w:t>Financial Services Rule Book</w:t>
        </w:r>
        <w:r w:rsidR="006A13FF" w:rsidRPr="006A13FF">
          <w:rPr>
            <w:rStyle w:val="Hyperlink"/>
            <w:rFonts w:ascii="Calibri" w:hAnsi="Calibri" w:cs="Calibri"/>
            <w:szCs w:val="24"/>
          </w:rPr>
          <w:t xml:space="preserve"> 2016</w:t>
        </w:r>
      </w:hyperlink>
      <w:r w:rsidR="00C91019">
        <w:rPr>
          <w:rFonts w:ascii="Calibri" w:hAnsi="Calibri" w:cs="Calibri"/>
          <w:szCs w:val="24"/>
        </w:rPr>
        <w:t xml:space="preserve"> </w:t>
      </w:r>
      <w:r w:rsidRPr="007D6DA0">
        <w:rPr>
          <w:rFonts w:ascii="Calibri" w:hAnsi="Calibri" w:cs="Calibri"/>
          <w:szCs w:val="24"/>
        </w:rPr>
        <w:t xml:space="preserve">states that a bank must prepare deposit taking returns and </w:t>
      </w:r>
      <w:r w:rsidR="00A16297">
        <w:rPr>
          <w:rFonts w:ascii="Calibri" w:hAnsi="Calibri" w:cs="Calibri"/>
          <w:szCs w:val="24"/>
        </w:rPr>
        <w:t>r</w:t>
      </w:r>
      <w:r w:rsidR="00A16297" w:rsidRPr="007D6DA0">
        <w:rPr>
          <w:rFonts w:ascii="Calibri" w:hAnsi="Calibri" w:cs="Calibri"/>
          <w:szCs w:val="24"/>
        </w:rPr>
        <w:t xml:space="preserve">ule </w:t>
      </w:r>
      <w:r w:rsidRPr="007D6DA0">
        <w:rPr>
          <w:rFonts w:ascii="Calibri" w:hAnsi="Calibri" w:cs="Calibri"/>
          <w:szCs w:val="24"/>
        </w:rPr>
        <w:t>2.20(4) states that the deposit taking returns must be in the format specified by the Authority, containing the information required by, and calculated in accordance with, the specifications</w:t>
      </w:r>
      <w:r>
        <w:rPr>
          <w:rFonts w:ascii="Calibri" w:hAnsi="Calibri" w:cs="Calibri"/>
          <w:szCs w:val="24"/>
        </w:rPr>
        <w:t>.</w:t>
      </w:r>
      <w:r w:rsidR="007117E7">
        <w:rPr>
          <w:rFonts w:ascii="Calibri" w:hAnsi="Calibri" w:cs="Calibri"/>
          <w:szCs w:val="24"/>
        </w:rPr>
        <w:t xml:space="preserve"> </w:t>
      </w:r>
      <w:r w:rsidR="00C91019">
        <w:rPr>
          <w:rFonts w:ascii="Calibri" w:hAnsi="Calibri" w:cs="Calibri"/>
          <w:szCs w:val="24"/>
        </w:rPr>
        <w:t>It is proposed that, f</w:t>
      </w:r>
      <w:r>
        <w:rPr>
          <w:rFonts w:ascii="Calibri" w:hAnsi="Calibri" w:cs="Calibri"/>
          <w:szCs w:val="24"/>
        </w:rPr>
        <w:t xml:space="preserve">or the purpose of </w:t>
      </w:r>
      <w:r w:rsidR="00A16297">
        <w:rPr>
          <w:rFonts w:ascii="Calibri" w:hAnsi="Calibri" w:cs="Calibri"/>
          <w:szCs w:val="24"/>
        </w:rPr>
        <w:t>r</w:t>
      </w:r>
      <w:r w:rsidR="00A16297" w:rsidRPr="007D6DA0">
        <w:rPr>
          <w:rFonts w:ascii="Calibri" w:hAnsi="Calibri" w:cs="Calibri"/>
          <w:szCs w:val="24"/>
        </w:rPr>
        <w:t xml:space="preserve">ule </w:t>
      </w:r>
      <w:r w:rsidRPr="007D6DA0">
        <w:rPr>
          <w:rFonts w:ascii="Calibri" w:hAnsi="Calibri" w:cs="Calibri"/>
          <w:szCs w:val="24"/>
        </w:rPr>
        <w:t>2.20(4</w:t>
      </w:r>
      <w:r>
        <w:rPr>
          <w:rFonts w:ascii="Calibri" w:hAnsi="Calibri" w:cs="Calibri"/>
          <w:szCs w:val="24"/>
        </w:rPr>
        <w:t>),</w:t>
      </w:r>
      <w:r w:rsidRPr="007D6DA0">
        <w:rPr>
          <w:rFonts w:ascii="Calibri" w:hAnsi="Calibri" w:cs="Calibri"/>
          <w:szCs w:val="24"/>
        </w:rPr>
        <w:t xml:space="preserve"> </w:t>
      </w:r>
      <w:r>
        <w:rPr>
          <w:rFonts w:ascii="Calibri" w:hAnsi="Calibri" w:cs="Calibri"/>
          <w:szCs w:val="24"/>
        </w:rPr>
        <w:t xml:space="preserve">the </w:t>
      </w:r>
      <w:r w:rsidR="008B2377">
        <w:rPr>
          <w:rFonts w:ascii="Calibri" w:hAnsi="Calibri" w:cs="Calibri"/>
          <w:szCs w:val="24"/>
        </w:rPr>
        <w:t>NSFR</w:t>
      </w:r>
      <w:r>
        <w:rPr>
          <w:rFonts w:ascii="Calibri" w:hAnsi="Calibri" w:cs="Calibri"/>
          <w:szCs w:val="24"/>
        </w:rPr>
        <w:t xml:space="preserve"> Reporting Form </w:t>
      </w:r>
      <w:r w:rsidR="00C91019">
        <w:rPr>
          <w:rFonts w:ascii="Calibri" w:hAnsi="Calibri" w:cs="Calibri"/>
          <w:szCs w:val="24"/>
        </w:rPr>
        <w:t>will be</w:t>
      </w:r>
      <w:r w:rsidR="00F650EA">
        <w:rPr>
          <w:rFonts w:ascii="Calibri" w:hAnsi="Calibri" w:cs="Calibri"/>
          <w:szCs w:val="24"/>
        </w:rPr>
        <w:t xml:space="preserve"> the form</w:t>
      </w:r>
      <w:r w:rsidR="00C91019">
        <w:rPr>
          <w:rFonts w:ascii="Calibri" w:hAnsi="Calibri" w:cs="Calibri"/>
          <w:szCs w:val="24"/>
        </w:rPr>
        <w:t xml:space="preserve"> </w:t>
      </w:r>
      <w:r>
        <w:rPr>
          <w:rFonts w:ascii="Calibri" w:hAnsi="Calibri" w:cs="Calibri"/>
          <w:szCs w:val="24"/>
        </w:rPr>
        <w:t xml:space="preserve">specified by the Authority </w:t>
      </w:r>
      <w:r w:rsidR="00A16297">
        <w:rPr>
          <w:rFonts w:ascii="Calibri" w:hAnsi="Calibri" w:cs="Calibri"/>
          <w:szCs w:val="24"/>
        </w:rPr>
        <w:t>to be</w:t>
      </w:r>
      <w:r>
        <w:rPr>
          <w:rFonts w:ascii="Calibri" w:hAnsi="Calibri" w:cs="Calibri"/>
          <w:szCs w:val="24"/>
        </w:rPr>
        <w:t xml:space="preserve"> completed as set out in th</w:t>
      </w:r>
      <w:r w:rsidR="00C91019">
        <w:rPr>
          <w:rFonts w:ascii="Calibri" w:hAnsi="Calibri" w:cs="Calibri"/>
          <w:szCs w:val="24"/>
        </w:rPr>
        <w:t xml:space="preserve">e (draft) </w:t>
      </w:r>
      <w:r>
        <w:rPr>
          <w:rFonts w:ascii="Calibri" w:hAnsi="Calibri" w:cs="Calibri"/>
          <w:szCs w:val="24"/>
        </w:rPr>
        <w:t>guidance</w:t>
      </w:r>
      <w:r w:rsidR="00A16297">
        <w:rPr>
          <w:rFonts w:ascii="Calibri" w:hAnsi="Calibri" w:cs="Calibri"/>
          <w:szCs w:val="24"/>
        </w:rPr>
        <w:t xml:space="preserve"> </w:t>
      </w:r>
      <w:r w:rsidR="00A16297" w:rsidRPr="005A5D1C">
        <w:rPr>
          <w:rFonts w:ascii="Calibri" w:hAnsi="Calibri" w:cs="Calibri"/>
          <w:szCs w:val="24"/>
        </w:rPr>
        <w:t>(</w:t>
      </w:r>
      <w:hyperlink w:anchor="_Appendix_B_–" w:history="1">
        <w:r w:rsidR="00A16297" w:rsidRPr="005A5D1C">
          <w:rPr>
            <w:rStyle w:val="Hyperlink"/>
            <w:rFonts w:ascii="Calibri" w:hAnsi="Calibri" w:cs="Calibri"/>
            <w:szCs w:val="24"/>
          </w:rPr>
          <w:t>Appendix B</w:t>
        </w:r>
      </w:hyperlink>
      <w:r w:rsidR="00A16297" w:rsidRPr="005A5D1C">
        <w:rPr>
          <w:rFonts w:ascii="Calibri" w:hAnsi="Calibri" w:cs="Calibri"/>
          <w:szCs w:val="24"/>
        </w:rPr>
        <w:t>)</w:t>
      </w:r>
      <w:r w:rsidRPr="005A5D1C">
        <w:rPr>
          <w:rFonts w:ascii="Calibri" w:hAnsi="Calibri" w:cs="Calibri"/>
          <w:szCs w:val="24"/>
        </w:rPr>
        <w:t>.</w:t>
      </w:r>
    </w:p>
    <w:p w14:paraId="6A065086" w14:textId="77777777" w:rsidR="003F60DE" w:rsidRDefault="003F60DE" w:rsidP="001D1963">
      <w:pPr>
        <w:spacing w:after="0" w:line="240" w:lineRule="auto"/>
      </w:pPr>
    </w:p>
    <w:p w14:paraId="617938C3" w14:textId="4907A8B5" w:rsidR="00551D9E" w:rsidRDefault="00D32F3E" w:rsidP="001D1963">
      <w:pPr>
        <w:spacing w:after="0" w:line="240" w:lineRule="auto"/>
        <w:jc w:val="both"/>
      </w:pPr>
      <w:r>
        <w:t>A copy</w:t>
      </w:r>
      <w:r w:rsidR="00C91019">
        <w:t xml:space="preserve"> of </w:t>
      </w:r>
      <w:r>
        <w:t xml:space="preserve">the </w:t>
      </w:r>
      <w:r w:rsidR="00C91019">
        <w:t xml:space="preserve">proposed </w:t>
      </w:r>
      <w:r w:rsidR="008B2377">
        <w:t>NSFR</w:t>
      </w:r>
      <w:r>
        <w:t xml:space="preserve"> Reporting Form</w:t>
      </w:r>
      <w:r w:rsidR="00C91019">
        <w:t xml:space="preserve">, together with the </w:t>
      </w:r>
      <w:r w:rsidR="00DE462A">
        <w:t xml:space="preserve">(draft) </w:t>
      </w:r>
      <w:r w:rsidR="00C91019">
        <w:t>regulatory guidance</w:t>
      </w:r>
      <w:r>
        <w:t>, is attached to this Paper</w:t>
      </w:r>
      <w:r w:rsidR="00926652">
        <w:t xml:space="preserve"> </w:t>
      </w:r>
      <w:r w:rsidR="00926652" w:rsidRPr="005A5D1C">
        <w:t xml:space="preserve">(see </w:t>
      </w:r>
      <w:hyperlink w:anchor="_Draft_NSFR_Reporting" w:history="1">
        <w:r w:rsidR="00926652" w:rsidRPr="005A5D1C">
          <w:rPr>
            <w:rStyle w:val="Hyperlink"/>
            <w:b/>
            <w:bCs/>
          </w:rPr>
          <w:t>Appendix B</w:t>
        </w:r>
        <w:r w:rsidR="00ED2049" w:rsidRPr="005A5D1C">
          <w:rPr>
            <w:rStyle w:val="Hyperlink"/>
            <w:b/>
            <w:bCs/>
          </w:rPr>
          <w:t>(1)</w:t>
        </w:r>
      </w:hyperlink>
      <w:r w:rsidR="00ED2049" w:rsidRPr="005A5D1C">
        <w:rPr>
          <w:b/>
          <w:bCs/>
        </w:rPr>
        <w:t xml:space="preserve"> and </w:t>
      </w:r>
      <w:hyperlink w:anchor="_Draft_Guidance" w:history="1">
        <w:r w:rsidR="00ED2049" w:rsidRPr="005A5D1C">
          <w:rPr>
            <w:rStyle w:val="Hyperlink"/>
            <w:b/>
            <w:bCs/>
          </w:rPr>
          <w:t>Appendix B(2)</w:t>
        </w:r>
      </w:hyperlink>
      <w:r w:rsidR="00926652" w:rsidRPr="005A5D1C">
        <w:t>)</w:t>
      </w:r>
      <w:r w:rsidR="00C91019" w:rsidRPr="005A5D1C">
        <w:t>.</w:t>
      </w:r>
      <w:r w:rsidR="007117E7">
        <w:t xml:space="preserve"> </w:t>
      </w:r>
      <w:r>
        <w:t xml:space="preserve">The calculations and guidance are based on the Basel Committee </w:t>
      </w:r>
      <w:r w:rsidR="008B2377">
        <w:t>NSFR</w:t>
      </w:r>
      <w:r w:rsidR="00DE462A">
        <w:t xml:space="preserve"> Standard</w:t>
      </w:r>
      <w:r>
        <w:t>, whilst also considering the frameworks in place in other jurisdictions, including the Channel Islands and U</w:t>
      </w:r>
      <w:r w:rsidR="00A16297">
        <w:t xml:space="preserve">nited </w:t>
      </w:r>
      <w:r>
        <w:t>K</w:t>
      </w:r>
      <w:r w:rsidR="00A16297">
        <w:t>ingdom</w:t>
      </w:r>
      <w:r w:rsidR="001701C9">
        <w:t xml:space="preserve"> (“</w:t>
      </w:r>
      <w:r w:rsidR="001701C9">
        <w:rPr>
          <w:b/>
          <w:bCs/>
        </w:rPr>
        <w:t>UK</w:t>
      </w:r>
      <w:r w:rsidR="001701C9">
        <w:t>”)</w:t>
      </w:r>
      <w:r>
        <w:t>.</w:t>
      </w:r>
      <w:r w:rsidR="008B5C59">
        <w:t xml:space="preserve">  </w:t>
      </w:r>
    </w:p>
    <w:p w14:paraId="2FAA4B53" w14:textId="77777777" w:rsidR="00551D9E" w:rsidRDefault="00551D9E" w:rsidP="001D1963">
      <w:pPr>
        <w:spacing w:after="0" w:line="240" w:lineRule="auto"/>
        <w:jc w:val="both"/>
      </w:pPr>
    </w:p>
    <w:p w14:paraId="262C73A4" w14:textId="52D77B84" w:rsidR="008B5C59" w:rsidRDefault="008B5C59" w:rsidP="001D1963">
      <w:pPr>
        <w:spacing w:after="0" w:line="240" w:lineRule="auto"/>
        <w:jc w:val="both"/>
      </w:pPr>
      <w:r>
        <w:t xml:space="preserve">In </w:t>
      </w:r>
      <w:r w:rsidR="00551D9E">
        <w:t xml:space="preserve">designing </w:t>
      </w:r>
      <w:r>
        <w:t xml:space="preserve">the NSFR Reporting Form and the (draft) regulatory guidance, the Authority </w:t>
      </w:r>
      <w:r w:rsidR="00551D9E">
        <w:t>is not proposing to exercise</w:t>
      </w:r>
      <w:r>
        <w:t xml:space="preserve"> the national discretion</w:t>
      </w:r>
      <w:r w:rsidR="00551D9E">
        <w:t>s</w:t>
      </w:r>
      <w:r>
        <w:t xml:space="preserve"> pertaining to the following matters contained in the NSFR Standard:</w:t>
      </w:r>
    </w:p>
    <w:p w14:paraId="7A3D1968" w14:textId="77777777" w:rsidR="008B5C59" w:rsidRDefault="008B5C59" w:rsidP="001D1963">
      <w:pPr>
        <w:spacing w:after="0" w:line="240" w:lineRule="auto"/>
        <w:jc w:val="both"/>
      </w:pPr>
    </w:p>
    <w:p w14:paraId="0B877D17" w14:textId="77777777" w:rsidR="00551D9E" w:rsidRDefault="00551D9E" w:rsidP="00551D9E">
      <w:pPr>
        <w:pStyle w:val="ListParagraph"/>
        <w:numPr>
          <w:ilvl w:val="0"/>
          <w:numId w:val="43"/>
        </w:numPr>
        <w:spacing w:after="0" w:line="240" w:lineRule="auto"/>
        <w:jc w:val="both"/>
      </w:pPr>
      <w:r>
        <w:t>Exclusions from the NSFR per 10.6 of the NSFR Standard; and</w:t>
      </w:r>
    </w:p>
    <w:p w14:paraId="10F3F3C0" w14:textId="0756B0F4" w:rsidR="00D32F3E" w:rsidRDefault="00551D9E" w:rsidP="00551D9E">
      <w:pPr>
        <w:pStyle w:val="ListParagraph"/>
        <w:numPr>
          <w:ilvl w:val="0"/>
          <w:numId w:val="43"/>
        </w:numPr>
        <w:spacing w:after="0" w:line="240" w:lineRule="auto"/>
        <w:jc w:val="both"/>
      </w:pPr>
      <w:r>
        <w:t>Interdependent assets and liabilities per 30.35 to 30.37 of the NSFR Standard</w:t>
      </w:r>
    </w:p>
    <w:p w14:paraId="569DCC54" w14:textId="77777777" w:rsidR="00D32F3E" w:rsidRDefault="00D32F3E" w:rsidP="001D1963">
      <w:pPr>
        <w:spacing w:after="0" w:line="240" w:lineRule="auto"/>
        <w:jc w:val="both"/>
      </w:pPr>
    </w:p>
    <w:p w14:paraId="07073817" w14:textId="018E7B71" w:rsidR="00551D9E" w:rsidRDefault="00551D9E" w:rsidP="001D1963">
      <w:pPr>
        <w:spacing w:after="0" w:line="240" w:lineRule="auto"/>
        <w:jc w:val="both"/>
      </w:pPr>
      <w:r>
        <w:t>The Authority does not consider that exercising these discretions would have any material impact for banks incorporated in the Island.</w:t>
      </w:r>
    </w:p>
    <w:p w14:paraId="7C5746C2" w14:textId="77777777" w:rsidR="00551D9E" w:rsidRDefault="00551D9E" w:rsidP="001D1963">
      <w:pPr>
        <w:spacing w:after="0" w:line="240" w:lineRule="auto"/>
        <w:jc w:val="both"/>
      </w:pPr>
    </w:p>
    <w:p w14:paraId="6EB5D986" w14:textId="0B35B666" w:rsidR="00D32F3E" w:rsidRDefault="00A16297" w:rsidP="001D1963">
      <w:pPr>
        <w:spacing w:after="0" w:line="240" w:lineRule="auto"/>
        <w:jc w:val="both"/>
      </w:pPr>
      <w:r>
        <w:t>I</w:t>
      </w:r>
      <w:r w:rsidR="00A43B97">
        <w:t>n relation to the</w:t>
      </w:r>
      <w:r w:rsidR="00DE462A">
        <w:t xml:space="preserve"> proposed</w:t>
      </w:r>
      <w:r w:rsidR="00A43B97">
        <w:t xml:space="preserve"> </w:t>
      </w:r>
      <w:r w:rsidR="008B2377">
        <w:t>NSFR</w:t>
      </w:r>
      <w:r w:rsidR="00A43B97">
        <w:t xml:space="preserve"> Reporting Form and guidance</w:t>
      </w:r>
      <w:r>
        <w:t xml:space="preserve"> specifically,</w:t>
      </w:r>
      <w:r w:rsidR="00A43B97">
        <w:t xml:space="preserve"> please </w:t>
      </w:r>
      <w:r w:rsidR="00551D9E">
        <w:t xml:space="preserve">also </w:t>
      </w:r>
      <w:r w:rsidR="00A43B97">
        <w:t>note the following</w:t>
      </w:r>
      <w:r w:rsidR="00D32F3E">
        <w:t>:</w:t>
      </w:r>
    </w:p>
    <w:p w14:paraId="5F3487F5" w14:textId="77777777" w:rsidR="00D32F3E" w:rsidRDefault="00D32F3E" w:rsidP="001D1963">
      <w:pPr>
        <w:spacing w:after="0" w:line="240" w:lineRule="auto"/>
        <w:jc w:val="both"/>
      </w:pPr>
    </w:p>
    <w:p w14:paraId="6AEF0721" w14:textId="0C1CC81C" w:rsidR="00A43B97" w:rsidRDefault="0092481D" w:rsidP="008B2377">
      <w:pPr>
        <w:pStyle w:val="ListParagraph"/>
        <w:numPr>
          <w:ilvl w:val="0"/>
          <w:numId w:val="37"/>
        </w:numPr>
        <w:spacing w:after="0" w:line="240" w:lineRule="auto"/>
        <w:jc w:val="both"/>
      </w:pPr>
      <w:r w:rsidRPr="0092481D">
        <w:t xml:space="preserve">The </w:t>
      </w:r>
      <w:r w:rsidR="008B2377">
        <w:t>NSFR</w:t>
      </w:r>
      <w:r w:rsidRPr="0092481D">
        <w:t xml:space="preserve"> Reporting Form, once finalised, will be structured to include certain “validation” checks for submission into the Authority’s data warehouse.</w:t>
      </w:r>
    </w:p>
    <w:p w14:paraId="0A8130E7" w14:textId="5B0706F1" w:rsidR="00AF630D" w:rsidRDefault="00AF630D" w:rsidP="008B2377">
      <w:pPr>
        <w:pStyle w:val="ListParagraph"/>
        <w:numPr>
          <w:ilvl w:val="0"/>
          <w:numId w:val="37"/>
        </w:numPr>
        <w:spacing w:after="0" w:line="240" w:lineRule="auto"/>
        <w:jc w:val="both"/>
      </w:pPr>
      <w:r>
        <w:t>The NSFR Reporting Form may be combined with other reporting forms for the purpose of a final set of reporting forms (e.g. with the proposed LCR Reporting Forms consulted on in DP25-01), and for submission to the Authority’s data warehouse.</w:t>
      </w:r>
    </w:p>
    <w:p w14:paraId="6F4D507C" w14:textId="37A22205" w:rsidR="00A43B97" w:rsidRPr="002C4893" w:rsidRDefault="002B7C8C" w:rsidP="001D1963">
      <w:pPr>
        <w:pStyle w:val="ListParagraph"/>
        <w:numPr>
          <w:ilvl w:val="0"/>
          <w:numId w:val="37"/>
        </w:numPr>
        <w:spacing w:after="0" w:line="240" w:lineRule="auto"/>
        <w:jc w:val="both"/>
      </w:pPr>
      <w:r w:rsidRPr="002C4893">
        <w:lastRenderedPageBreak/>
        <w:t xml:space="preserve">The list of </w:t>
      </w:r>
      <w:r w:rsidR="00A43B97" w:rsidRPr="002C4893">
        <w:t>MDBs</w:t>
      </w:r>
      <w:r w:rsidRPr="002C4893">
        <w:t xml:space="preserve"> contained in Annex </w:t>
      </w:r>
      <w:r w:rsidR="008B2377">
        <w:t>B</w:t>
      </w:r>
      <w:r w:rsidRPr="002C4893">
        <w:t xml:space="preserve"> of the draft guidance for the </w:t>
      </w:r>
      <w:r w:rsidR="008B2377">
        <w:t>NSFR</w:t>
      </w:r>
      <w:r w:rsidRPr="002C4893">
        <w:t xml:space="preserve"> Reporting Form is an updated list that differs from the existing list contained in current guidance in respect of Form SR-1B</w:t>
      </w:r>
      <w:r w:rsidR="002C4893" w:rsidRPr="002C4893">
        <w:t xml:space="preserve"> (Quarterly Prudential Returns)</w:t>
      </w:r>
      <w:r w:rsidRPr="002C4893">
        <w:t>.</w:t>
      </w:r>
      <w:r w:rsidR="007117E7">
        <w:t xml:space="preserve"> </w:t>
      </w:r>
      <w:r w:rsidR="002C4893" w:rsidRPr="002C4893">
        <w:t>The draft guidance includes 4 additional MDBs</w:t>
      </w:r>
      <w:r w:rsidR="00AF630D">
        <w:rPr>
          <w:rStyle w:val="FootnoteReference"/>
        </w:rPr>
        <w:footnoteReference w:id="5"/>
      </w:r>
      <w:r w:rsidR="002C4893" w:rsidRPr="002C4893">
        <w:t>.</w:t>
      </w:r>
      <w:r w:rsidR="007117E7">
        <w:t xml:space="preserve"> </w:t>
      </w:r>
      <w:r w:rsidR="002C4893" w:rsidRPr="002C4893">
        <w:t>The current list for Form SR-1B will be updated in due course.</w:t>
      </w:r>
      <w:r w:rsidR="007117E7">
        <w:t xml:space="preserve"> </w:t>
      </w:r>
    </w:p>
    <w:p w14:paraId="379F81A5" w14:textId="77777777" w:rsidR="00E74B73" w:rsidRDefault="00E74B73" w:rsidP="001D1963">
      <w:pPr>
        <w:pStyle w:val="FSADocumentText"/>
      </w:pPr>
    </w:p>
    <w:p w14:paraId="62A0F518" w14:textId="2A87F3A9" w:rsidR="0074530A" w:rsidRDefault="0074530A" w:rsidP="001D1963">
      <w:pPr>
        <w:pStyle w:val="FSADocumentText"/>
      </w:pPr>
      <w:r>
        <w:t xml:space="preserve">The draft </w:t>
      </w:r>
      <w:r w:rsidR="008B2377">
        <w:t>NSFR</w:t>
      </w:r>
      <w:r>
        <w:t xml:space="preserve"> Reporting Form is provided in electronic format and is available to be tested by banks.</w:t>
      </w:r>
    </w:p>
    <w:p w14:paraId="721ADD2D" w14:textId="77777777" w:rsidR="0074530A" w:rsidRDefault="0074530A" w:rsidP="001D1963">
      <w:pPr>
        <w:pStyle w:val="FSADocumentText"/>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8A050A" w:rsidRPr="00031DE2" w14:paraId="3636B7BC" w14:textId="77777777" w:rsidTr="00014790">
        <w:tc>
          <w:tcPr>
            <w:tcW w:w="5000" w:type="pct"/>
            <w:shd w:val="clear" w:color="auto" w:fill="005782"/>
          </w:tcPr>
          <w:p w14:paraId="7CB13B23" w14:textId="77777777" w:rsidR="008A050A" w:rsidRPr="00031DE2" w:rsidRDefault="008A050A" w:rsidP="00014790">
            <w:pPr>
              <w:rPr>
                <w:color w:val="FFFFFF" w:themeColor="background1"/>
              </w:rPr>
            </w:pPr>
            <w:r w:rsidRPr="00031DE2">
              <w:rPr>
                <w:color w:val="FFFFFF" w:themeColor="background1"/>
              </w:rPr>
              <w:t xml:space="preserve">Question </w:t>
            </w:r>
            <w:r>
              <w:rPr>
                <w:color w:val="FFFFFF" w:themeColor="background1"/>
              </w:rPr>
              <w:t>3</w:t>
            </w:r>
          </w:p>
        </w:tc>
      </w:tr>
      <w:tr w:rsidR="008A050A" w:rsidRPr="00093B9B" w14:paraId="0C8C88CF" w14:textId="77777777" w:rsidTr="00014790">
        <w:tc>
          <w:tcPr>
            <w:tcW w:w="5000" w:type="pct"/>
            <w:shd w:val="clear" w:color="auto" w:fill="CAD8D7"/>
          </w:tcPr>
          <w:p w14:paraId="6C337140" w14:textId="580AEC87" w:rsidR="008A050A" w:rsidRPr="00551D9E" w:rsidRDefault="008A050A" w:rsidP="00014790">
            <w:pPr>
              <w:jc w:val="both"/>
              <w:rPr>
                <w:rFonts w:ascii="Calibri" w:hAnsi="Calibri" w:cs="Calibri"/>
                <w:szCs w:val="24"/>
              </w:rPr>
            </w:pPr>
            <w:r w:rsidRPr="00093B9B">
              <w:rPr>
                <w:rFonts w:ascii="Calibri" w:hAnsi="Calibri" w:cs="Calibri"/>
                <w:szCs w:val="24"/>
              </w:rPr>
              <w:t xml:space="preserve">Do you have any comments / observations in relation to the proposed </w:t>
            </w:r>
            <w:r w:rsidR="008B2377">
              <w:rPr>
                <w:rFonts w:ascii="Calibri" w:hAnsi="Calibri" w:cs="Calibri"/>
                <w:szCs w:val="24"/>
              </w:rPr>
              <w:t>NSFR</w:t>
            </w:r>
            <w:r w:rsidRPr="00093B9B">
              <w:rPr>
                <w:rFonts w:ascii="Calibri" w:hAnsi="Calibri" w:cs="Calibri"/>
                <w:szCs w:val="24"/>
              </w:rPr>
              <w:t xml:space="preserve"> Reporting Form and guidance</w:t>
            </w:r>
            <w:r w:rsidR="008B5C59">
              <w:rPr>
                <w:rFonts w:ascii="Calibri" w:hAnsi="Calibri" w:cs="Calibri"/>
                <w:szCs w:val="24"/>
              </w:rPr>
              <w:t xml:space="preserve"> (including the proposed decision not to exercise the national discretions referenced above)</w:t>
            </w:r>
            <w:r>
              <w:rPr>
                <w:rFonts w:ascii="Calibri" w:hAnsi="Calibri" w:cs="Calibri"/>
                <w:szCs w:val="24"/>
              </w:rPr>
              <w:t xml:space="preserve">? </w:t>
            </w:r>
            <w:r w:rsidRPr="00093B9B">
              <w:rPr>
                <w:rFonts w:ascii="Calibri" w:hAnsi="Calibri" w:cs="Calibri"/>
                <w:szCs w:val="24"/>
              </w:rPr>
              <w:t>If so, please provide further information, including identification of any errors.</w:t>
            </w:r>
            <w:r w:rsidR="008B5C59">
              <w:rPr>
                <w:rFonts w:ascii="Calibri" w:hAnsi="Calibri" w:cs="Calibri"/>
                <w:szCs w:val="24"/>
              </w:rPr>
              <w:t xml:space="preserve"> </w:t>
            </w:r>
          </w:p>
        </w:tc>
      </w:tr>
    </w:tbl>
    <w:p w14:paraId="3353C966" w14:textId="77777777" w:rsidR="002C4893" w:rsidRDefault="002C4893" w:rsidP="001D1963">
      <w:pPr>
        <w:pStyle w:val="FSADocumentText"/>
      </w:pPr>
    </w:p>
    <w:p w14:paraId="726CF26D" w14:textId="61736A34" w:rsidR="00E74B73" w:rsidRDefault="008B2377" w:rsidP="00E74B73">
      <w:pPr>
        <w:pStyle w:val="Heading2"/>
      </w:pPr>
      <w:bookmarkStart w:id="28" w:name="_LCR_-_proposed"/>
      <w:bookmarkStart w:id="29" w:name="_NSFR_Proposed_Frequency"/>
      <w:bookmarkStart w:id="30" w:name="_Toc201927348"/>
      <w:bookmarkEnd w:id="28"/>
      <w:bookmarkEnd w:id="29"/>
      <w:r>
        <w:t>NSFR</w:t>
      </w:r>
      <w:r w:rsidR="0029057B">
        <w:t xml:space="preserve"> </w:t>
      </w:r>
      <w:r w:rsidR="008A050A">
        <w:t>P</w:t>
      </w:r>
      <w:r w:rsidR="008C3EAC">
        <w:t xml:space="preserve">roposed </w:t>
      </w:r>
      <w:r w:rsidR="008A050A">
        <w:t xml:space="preserve">Frequency </w:t>
      </w:r>
      <w:r w:rsidR="008C3EAC">
        <w:t xml:space="preserve">of </w:t>
      </w:r>
      <w:r w:rsidR="008A050A">
        <w:t>Reporting</w:t>
      </w:r>
      <w:bookmarkEnd w:id="30"/>
    </w:p>
    <w:p w14:paraId="7406C04D" w14:textId="2E136E1A" w:rsidR="00767517" w:rsidRDefault="00767517" w:rsidP="001D1963">
      <w:pPr>
        <w:spacing w:after="0" w:line="240" w:lineRule="auto"/>
        <w:contextualSpacing/>
        <w:jc w:val="both"/>
        <w:rPr>
          <w:rFonts w:ascii="Calibri" w:hAnsi="Calibri" w:cs="Calibri"/>
          <w:szCs w:val="24"/>
        </w:rPr>
      </w:pPr>
      <w:r>
        <w:rPr>
          <w:rFonts w:ascii="Calibri" w:hAnsi="Calibri" w:cs="Calibri"/>
          <w:szCs w:val="24"/>
        </w:rPr>
        <w:t xml:space="preserve">The suggested frequency of reporting proposed by the Basel Committee in connection with the </w:t>
      </w:r>
      <w:r w:rsidR="008B2377">
        <w:rPr>
          <w:rFonts w:ascii="Calibri" w:hAnsi="Calibri" w:cs="Calibri"/>
          <w:szCs w:val="24"/>
        </w:rPr>
        <w:t>NSFR</w:t>
      </w:r>
      <w:r>
        <w:rPr>
          <w:rFonts w:ascii="Calibri" w:hAnsi="Calibri" w:cs="Calibri"/>
          <w:szCs w:val="24"/>
        </w:rPr>
        <w:t xml:space="preserve"> Standard is </w:t>
      </w:r>
      <w:r w:rsidR="00AF630D">
        <w:rPr>
          <w:rFonts w:ascii="Calibri" w:hAnsi="Calibri" w:cs="Calibri"/>
          <w:szCs w:val="24"/>
        </w:rPr>
        <w:t>at least quarterly.</w:t>
      </w:r>
    </w:p>
    <w:p w14:paraId="32BB4888" w14:textId="77777777" w:rsidR="00767517" w:rsidRDefault="00767517" w:rsidP="001D1963">
      <w:pPr>
        <w:spacing w:after="0" w:line="240" w:lineRule="auto"/>
        <w:contextualSpacing/>
        <w:jc w:val="both"/>
        <w:rPr>
          <w:rFonts w:ascii="Calibri" w:hAnsi="Calibri" w:cs="Calibri"/>
          <w:szCs w:val="24"/>
        </w:rPr>
      </w:pPr>
    </w:p>
    <w:p w14:paraId="6FDBD4CC" w14:textId="334AD7FB" w:rsidR="008C3EAC" w:rsidRDefault="00AF630D" w:rsidP="001D1963">
      <w:pPr>
        <w:spacing w:after="0" w:line="240" w:lineRule="auto"/>
        <w:contextualSpacing/>
        <w:jc w:val="both"/>
        <w:rPr>
          <w:rFonts w:ascii="Calibri" w:hAnsi="Calibri" w:cs="Calibri"/>
          <w:szCs w:val="24"/>
        </w:rPr>
      </w:pPr>
      <w:r>
        <w:rPr>
          <w:rFonts w:ascii="Calibri" w:hAnsi="Calibri" w:cs="Calibri"/>
          <w:szCs w:val="24"/>
        </w:rPr>
        <w:t xml:space="preserve">The </w:t>
      </w:r>
      <w:r w:rsidR="00767517">
        <w:rPr>
          <w:rFonts w:ascii="Calibri" w:hAnsi="Calibri" w:cs="Calibri"/>
          <w:szCs w:val="24"/>
        </w:rPr>
        <w:t xml:space="preserve">Authority </w:t>
      </w:r>
      <w:r>
        <w:rPr>
          <w:rFonts w:ascii="Calibri" w:hAnsi="Calibri" w:cs="Calibri"/>
          <w:szCs w:val="24"/>
        </w:rPr>
        <w:t>therefore</w:t>
      </w:r>
      <w:r w:rsidR="00FE34B2">
        <w:rPr>
          <w:rFonts w:ascii="Calibri" w:hAnsi="Calibri" w:cs="Calibri"/>
          <w:szCs w:val="24"/>
        </w:rPr>
        <w:t xml:space="preserve"> propose</w:t>
      </w:r>
      <w:r>
        <w:rPr>
          <w:rFonts w:ascii="Calibri" w:hAnsi="Calibri" w:cs="Calibri"/>
          <w:szCs w:val="24"/>
        </w:rPr>
        <w:t>s</w:t>
      </w:r>
      <w:r w:rsidR="00FE34B2">
        <w:rPr>
          <w:rFonts w:ascii="Calibri" w:hAnsi="Calibri" w:cs="Calibri"/>
          <w:szCs w:val="24"/>
        </w:rPr>
        <w:t xml:space="preserve"> that the </w:t>
      </w:r>
      <w:r>
        <w:rPr>
          <w:rFonts w:ascii="Calibri" w:hAnsi="Calibri" w:cs="Calibri"/>
          <w:szCs w:val="24"/>
        </w:rPr>
        <w:t>NSFR</w:t>
      </w:r>
      <w:r w:rsidR="008C3EAC" w:rsidRPr="00767517">
        <w:rPr>
          <w:rFonts w:ascii="Calibri" w:hAnsi="Calibri" w:cs="Calibri"/>
          <w:szCs w:val="24"/>
        </w:rPr>
        <w:t xml:space="preserve"> Reporting Form</w:t>
      </w:r>
      <w:r w:rsidR="008C3EAC">
        <w:rPr>
          <w:rFonts w:ascii="Calibri" w:hAnsi="Calibri" w:cs="Calibri"/>
          <w:szCs w:val="24"/>
        </w:rPr>
        <w:t xml:space="preserve"> </w:t>
      </w:r>
      <w:r w:rsidR="004448B4">
        <w:rPr>
          <w:rFonts w:ascii="Calibri" w:hAnsi="Calibri" w:cs="Calibri"/>
          <w:szCs w:val="24"/>
        </w:rPr>
        <w:t xml:space="preserve">(which would include a consolidated </w:t>
      </w:r>
      <w:r>
        <w:rPr>
          <w:rFonts w:ascii="Calibri" w:hAnsi="Calibri" w:cs="Calibri"/>
          <w:szCs w:val="24"/>
        </w:rPr>
        <w:t>NSFR</w:t>
      </w:r>
      <w:r w:rsidR="004448B4">
        <w:rPr>
          <w:rFonts w:ascii="Calibri" w:hAnsi="Calibri" w:cs="Calibri"/>
          <w:szCs w:val="24"/>
        </w:rPr>
        <w:t xml:space="preserve"> if applicable to a bank) </w:t>
      </w:r>
      <w:r w:rsidR="008C3EAC">
        <w:rPr>
          <w:rFonts w:ascii="Calibri" w:hAnsi="Calibri" w:cs="Calibri"/>
          <w:szCs w:val="24"/>
        </w:rPr>
        <w:t xml:space="preserve">must be reported to the Authority on a quarterly basis as part of the </w:t>
      </w:r>
      <w:r w:rsidR="00767517">
        <w:rPr>
          <w:rFonts w:ascii="Calibri" w:hAnsi="Calibri" w:cs="Calibri"/>
          <w:szCs w:val="24"/>
        </w:rPr>
        <w:t xml:space="preserve">set of </w:t>
      </w:r>
      <w:r w:rsidR="00767517" w:rsidRPr="00767517">
        <w:rPr>
          <w:rFonts w:ascii="Calibri" w:hAnsi="Calibri" w:cs="Calibri"/>
          <w:szCs w:val="24"/>
        </w:rPr>
        <w:t>deposit taking</w:t>
      </w:r>
      <w:r w:rsidR="008C3EAC" w:rsidRPr="00767517">
        <w:rPr>
          <w:rFonts w:ascii="Calibri" w:hAnsi="Calibri" w:cs="Calibri"/>
          <w:szCs w:val="24"/>
        </w:rPr>
        <w:t xml:space="preserve"> </w:t>
      </w:r>
      <w:r w:rsidR="00767517" w:rsidRPr="00767517">
        <w:rPr>
          <w:rFonts w:ascii="Calibri" w:hAnsi="Calibri" w:cs="Calibri"/>
          <w:szCs w:val="24"/>
        </w:rPr>
        <w:t>r</w:t>
      </w:r>
      <w:r w:rsidR="008C3EAC" w:rsidRPr="00767517">
        <w:rPr>
          <w:rFonts w:ascii="Calibri" w:hAnsi="Calibri" w:cs="Calibri"/>
          <w:szCs w:val="24"/>
        </w:rPr>
        <w:t>eturns</w:t>
      </w:r>
      <w:r w:rsidR="008C3EAC">
        <w:rPr>
          <w:rFonts w:ascii="Calibri" w:hAnsi="Calibri" w:cs="Calibri"/>
          <w:szCs w:val="24"/>
        </w:rPr>
        <w:t xml:space="preserve">. It should be prepared </w:t>
      </w:r>
      <w:r w:rsidR="008C3EAC" w:rsidRPr="005F4175">
        <w:rPr>
          <w:rFonts w:ascii="Calibri" w:hAnsi="Calibri" w:cs="Calibri"/>
          <w:szCs w:val="24"/>
        </w:rPr>
        <w:t xml:space="preserve">based on the information as at </w:t>
      </w:r>
      <w:r w:rsidR="008C3EAC" w:rsidRPr="00681B15">
        <w:rPr>
          <w:rFonts w:ascii="Calibri" w:hAnsi="Calibri" w:cs="Calibri"/>
          <w:szCs w:val="24"/>
        </w:rPr>
        <w:t>either the last working day, or the last calendar day, of March</w:t>
      </w:r>
      <w:r w:rsidR="008C3EAC" w:rsidRPr="004448B4">
        <w:rPr>
          <w:rFonts w:ascii="Calibri" w:hAnsi="Calibri" w:cs="Calibri"/>
          <w:szCs w:val="24"/>
        </w:rPr>
        <w:t>, June, September and December</w:t>
      </w:r>
      <w:r w:rsidR="00FE34B2" w:rsidRPr="004448B4">
        <w:rPr>
          <w:rFonts w:ascii="Calibri" w:hAnsi="Calibri" w:cs="Calibri"/>
          <w:szCs w:val="24"/>
        </w:rPr>
        <w:t>, and be submitted to the Authority within one month of each reporting date</w:t>
      </w:r>
      <w:r w:rsidR="008C3EAC" w:rsidRPr="004448B4">
        <w:rPr>
          <w:rFonts w:ascii="Calibri" w:hAnsi="Calibri" w:cs="Calibri"/>
          <w:szCs w:val="24"/>
        </w:rPr>
        <w:t>.</w:t>
      </w:r>
    </w:p>
    <w:p w14:paraId="325B9544" w14:textId="77777777" w:rsidR="004448B4" w:rsidRDefault="004448B4" w:rsidP="001D1963">
      <w:pPr>
        <w:spacing w:after="0" w:line="240" w:lineRule="auto"/>
        <w:contextualSpacing/>
        <w:jc w:val="both"/>
        <w:rPr>
          <w:rFonts w:ascii="Calibri" w:hAnsi="Calibri" w:cs="Calibri"/>
          <w:szCs w:val="24"/>
        </w:rPr>
      </w:pPr>
    </w:p>
    <w:p w14:paraId="7DCDDCA6" w14:textId="73F690BF" w:rsidR="004448B4" w:rsidRDefault="004448B4" w:rsidP="001D1963">
      <w:pPr>
        <w:spacing w:after="0" w:line="240" w:lineRule="auto"/>
        <w:contextualSpacing/>
        <w:jc w:val="both"/>
        <w:rPr>
          <w:rFonts w:ascii="Calibri" w:hAnsi="Calibri" w:cs="Calibri"/>
          <w:szCs w:val="24"/>
        </w:rPr>
      </w:pPr>
      <w:r w:rsidRPr="005A5D1C">
        <w:rPr>
          <w:rFonts w:ascii="Calibri" w:hAnsi="Calibri" w:cs="Calibri"/>
          <w:szCs w:val="24"/>
        </w:rPr>
        <w:t xml:space="preserve">However, banks must have the operational capacity to increase the frequency of </w:t>
      </w:r>
      <w:r w:rsidR="005A5D1C" w:rsidRPr="005A5D1C">
        <w:rPr>
          <w:rFonts w:ascii="Calibri" w:hAnsi="Calibri" w:cs="Calibri"/>
          <w:szCs w:val="24"/>
        </w:rPr>
        <w:t xml:space="preserve">monitoring and </w:t>
      </w:r>
      <w:r w:rsidRPr="005A5D1C">
        <w:rPr>
          <w:rFonts w:ascii="Calibri" w:hAnsi="Calibri" w:cs="Calibri"/>
          <w:szCs w:val="24"/>
        </w:rPr>
        <w:t>reporting</w:t>
      </w:r>
      <w:r w:rsidR="005A5D1C" w:rsidRPr="005A5D1C">
        <w:rPr>
          <w:rFonts w:ascii="Calibri" w:hAnsi="Calibri" w:cs="Calibri"/>
          <w:szCs w:val="24"/>
        </w:rPr>
        <w:t>.</w:t>
      </w:r>
    </w:p>
    <w:p w14:paraId="3FD246A6" w14:textId="77777777" w:rsidR="004448B4" w:rsidRDefault="004448B4" w:rsidP="001D1963">
      <w:pPr>
        <w:spacing w:after="0" w:line="240" w:lineRule="auto"/>
        <w:contextualSpacing/>
        <w:jc w:val="both"/>
        <w:rPr>
          <w:rFonts w:ascii="Calibri" w:hAnsi="Calibri" w:cs="Calibri"/>
          <w:szCs w:val="24"/>
        </w:rPr>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B042CB" w:rsidRPr="00031DE2" w14:paraId="432C722C" w14:textId="77777777" w:rsidTr="00014790">
        <w:tc>
          <w:tcPr>
            <w:tcW w:w="5000" w:type="pct"/>
            <w:shd w:val="clear" w:color="auto" w:fill="005782"/>
          </w:tcPr>
          <w:p w14:paraId="18A9BFB6" w14:textId="77777777" w:rsidR="00B042CB" w:rsidRPr="00031DE2" w:rsidRDefault="00B042CB" w:rsidP="00014790">
            <w:pPr>
              <w:rPr>
                <w:color w:val="FFFFFF" w:themeColor="background1"/>
              </w:rPr>
            </w:pPr>
            <w:r w:rsidRPr="00031DE2">
              <w:rPr>
                <w:color w:val="FFFFFF" w:themeColor="background1"/>
              </w:rPr>
              <w:t xml:space="preserve">Question </w:t>
            </w:r>
            <w:r>
              <w:rPr>
                <w:color w:val="FFFFFF" w:themeColor="background1"/>
              </w:rPr>
              <w:t>4</w:t>
            </w:r>
          </w:p>
        </w:tc>
      </w:tr>
      <w:tr w:rsidR="00B042CB" w:rsidRPr="00093B9B" w14:paraId="70A498BA" w14:textId="77777777" w:rsidTr="00014790">
        <w:tc>
          <w:tcPr>
            <w:tcW w:w="5000" w:type="pct"/>
            <w:shd w:val="clear" w:color="auto" w:fill="CAD8D7"/>
          </w:tcPr>
          <w:p w14:paraId="1B24DFA6" w14:textId="0A2AA4D6" w:rsidR="00B042CB" w:rsidRPr="00093B9B" w:rsidRDefault="00B042CB" w:rsidP="00014790">
            <w:pPr>
              <w:jc w:val="both"/>
            </w:pPr>
            <w:r w:rsidRPr="00093B9B">
              <w:rPr>
                <w:rFonts w:ascii="Calibri" w:hAnsi="Calibri" w:cs="Calibri"/>
                <w:szCs w:val="24"/>
              </w:rPr>
              <w:t xml:space="preserve">Do you agree with the proposal to implement quarterly reporting as standard (with submissions due within one month), </w:t>
            </w:r>
            <w:r w:rsidR="00AF630D">
              <w:rPr>
                <w:rFonts w:ascii="Calibri" w:hAnsi="Calibri" w:cs="Calibri"/>
                <w:szCs w:val="24"/>
              </w:rPr>
              <w:t>consistent with the Basel Committee NSFR Standard?</w:t>
            </w:r>
          </w:p>
        </w:tc>
      </w:tr>
    </w:tbl>
    <w:p w14:paraId="21410074" w14:textId="77777777" w:rsidR="00B042CB" w:rsidRDefault="00B042CB" w:rsidP="001D1963">
      <w:pPr>
        <w:spacing w:after="0" w:line="240" w:lineRule="auto"/>
        <w:contextualSpacing/>
        <w:jc w:val="both"/>
        <w:rPr>
          <w:rFonts w:ascii="Calibri" w:hAnsi="Calibri" w:cs="Calibri"/>
          <w:szCs w:val="24"/>
        </w:rPr>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B042CB" w:rsidRPr="00031DE2" w14:paraId="63255DEB" w14:textId="77777777" w:rsidTr="00014790">
        <w:tc>
          <w:tcPr>
            <w:tcW w:w="5000" w:type="pct"/>
            <w:shd w:val="clear" w:color="auto" w:fill="005782"/>
          </w:tcPr>
          <w:p w14:paraId="56B7C5A0" w14:textId="77777777" w:rsidR="00B042CB" w:rsidRPr="00031DE2" w:rsidRDefault="00B042CB" w:rsidP="00014790">
            <w:pPr>
              <w:rPr>
                <w:color w:val="FFFFFF" w:themeColor="background1"/>
              </w:rPr>
            </w:pPr>
            <w:r w:rsidRPr="00031DE2">
              <w:rPr>
                <w:color w:val="FFFFFF" w:themeColor="background1"/>
              </w:rPr>
              <w:t xml:space="preserve">Question </w:t>
            </w:r>
            <w:r>
              <w:rPr>
                <w:color w:val="FFFFFF" w:themeColor="background1"/>
              </w:rPr>
              <w:t>5</w:t>
            </w:r>
          </w:p>
        </w:tc>
      </w:tr>
      <w:tr w:rsidR="00B042CB" w:rsidRPr="00093B9B" w14:paraId="73294C15" w14:textId="77777777" w:rsidTr="00014790">
        <w:tc>
          <w:tcPr>
            <w:tcW w:w="5000" w:type="pct"/>
            <w:shd w:val="clear" w:color="auto" w:fill="CAD8D7"/>
          </w:tcPr>
          <w:p w14:paraId="2B90F58F" w14:textId="21CD59A7" w:rsidR="00B042CB" w:rsidRPr="00093B9B" w:rsidRDefault="00B042CB" w:rsidP="00014790">
            <w:pPr>
              <w:jc w:val="both"/>
            </w:pPr>
            <w:r w:rsidRPr="005A5D1C">
              <w:rPr>
                <w:rFonts w:ascii="Calibri" w:hAnsi="Calibri" w:cs="Calibri"/>
                <w:szCs w:val="24"/>
              </w:rPr>
              <w:t>Would you be able to increase the frequency of reporting, for example to monthly</w:t>
            </w:r>
            <w:r w:rsidR="00175BFA" w:rsidRPr="005A5D1C">
              <w:rPr>
                <w:rFonts w:ascii="Calibri" w:hAnsi="Calibri" w:cs="Calibri"/>
                <w:szCs w:val="24"/>
              </w:rPr>
              <w:t xml:space="preserve">, </w:t>
            </w:r>
            <w:r w:rsidR="005A5D1C" w:rsidRPr="005A5D1C">
              <w:rPr>
                <w:rFonts w:ascii="Calibri" w:hAnsi="Calibri" w:cs="Calibri"/>
                <w:szCs w:val="24"/>
              </w:rPr>
              <w:t xml:space="preserve">or even </w:t>
            </w:r>
            <w:r w:rsidR="00175BFA" w:rsidRPr="005A5D1C">
              <w:rPr>
                <w:rFonts w:ascii="Calibri" w:hAnsi="Calibri" w:cs="Calibri"/>
                <w:szCs w:val="24"/>
              </w:rPr>
              <w:t>weekly</w:t>
            </w:r>
            <w:r w:rsidRPr="005A5D1C">
              <w:rPr>
                <w:rFonts w:ascii="Calibri" w:hAnsi="Calibri" w:cs="Calibri"/>
                <w:szCs w:val="24"/>
              </w:rPr>
              <w:t xml:space="preserve"> if required to do so by the Authority (on an exceptional basis)?</w:t>
            </w:r>
          </w:p>
        </w:tc>
      </w:tr>
    </w:tbl>
    <w:p w14:paraId="3446EDEF" w14:textId="20F4DE2F" w:rsidR="00861EC0" w:rsidRDefault="00861EC0" w:rsidP="00861EC0">
      <w:pPr>
        <w:spacing w:after="0"/>
        <w:rPr>
          <w:rFonts w:ascii="Calibri" w:hAnsi="Calibri" w:cs="Calibri"/>
          <w:szCs w:val="24"/>
        </w:rPr>
      </w:pPr>
      <w:bookmarkStart w:id="31" w:name="_LCR_by_significant"/>
      <w:bookmarkEnd w:id="31"/>
    </w:p>
    <w:p w14:paraId="2A99B820" w14:textId="5550A31A" w:rsidR="00674FE8" w:rsidRDefault="008C3EAC" w:rsidP="00674FE8">
      <w:pPr>
        <w:pStyle w:val="Heading2"/>
        <w:spacing w:line="276" w:lineRule="auto"/>
      </w:pPr>
      <w:bookmarkStart w:id="32" w:name="_Transition_and_implementation"/>
      <w:bookmarkStart w:id="33" w:name="_Toc201927349"/>
      <w:bookmarkEnd w:id="32"/>
      <w:r>
        <w:t xml:space="preserve">Transition and </w:t>
      </w:r>
      <w:r w:rsidR="006F1CED">
        <w:t>Implementation</w:t>
      </w:r>
      <w:bookmarkEnd w:id="33"/>
    </w:p>
    <w:p w14:paraId="1E61CBE4" w14:textId="54EDBD6E" w:rsidR="00674FE8" w:rsidRPr="00222398" w:rsidRDefault="00674FE8" w:rsidP="00C72B56">
      <w:pPr>
        <w:pStyle w:val="Heading3"/>
      </w:pPr>
      <w:bookmarkStart w:id="34" w:name="_Toc201927350"/>
      <w:r>
        <w:t>General approach</w:t>
      </w:r>
      <w:bookmarkEnd w:id="34"/>
    </w:p>
    <w:p w14:paraId="3003D711" w14:textId="3274C464" w:rsidR="00674FE8" w:rsidRDefault="00963623" w:rsidP="001D1963">
      <w:pPr>
        <w:pStyle w:val="FSADocumentText"/>
      </w:pPr>
      <w:r w:rsidRPr="00963623">
        <w:t>T</w:t>
      </w:r>
      <w:r w:rsidR="002A26CA" w:rsidRPr="00963623">
        <w:t xml:space="preserve">he </w:t>
      </w:r>
      <w:r w:rsidR="00AF630D">
        <w:t>NSFR</w:t>
      </w:r>
      <w:r w:rsidR="002A26CA" w:rsidRPr="00963623">
        <w:t xml:space="preserve"> (and </w:t>
      </w:r>
      <w:r w:rsidR="00AF630D">
        <w:t>LCR</w:t>
      </w:r>
      <w:r w:rsidR="002A26CA" w:rsidRPr="00963623">
        <w:t>) are additional measures introduced in the Basel Framework, and liquidity reporting and monitoring is more extensive under Basel III.</w:t>
      </w:r>
      <w:r w:rsidR="007117E7">
        <w:t xml:space="preserve"> </w:t>
      </w:r>
      <w:r w:rsidRPr="00963623">
        <w:t xml:space="preserve">The introduction of the proposed </w:t>
      </w:r>
      <w:r w:rsidR="00AF630D">
        <w:t>NSFR</w:t>
      </w:r>
      <w:r w:rsidRPr="00963623">
        <w:t xml:space="preserve"> Reporting Form is the </w:t>
      </w:r>
      <w:r w:rsidR="00562BC8">
        <w:t>second</w:t>
      </w:r>
      <w:r w:rsidRPr="00963623">
        <w:t xml:space="preserve"> part of the implement</w:t>
      </w:r>
      <w:r w:rsidR="00DB4AE5">
        <w:t>ation</w:t>
      </w:r>
      <w:r w:rsidRPr="00963623">
        <w:t xml:space="preserve"> plan and applies to banks incorporated in the Island.</w:t>
      </w:r>
      <w:r w:rsidR="007117E7">
        <w:t xml:space="preserve"> </w:t>
      </w:r>
    </w:p>
    <w:p w14:paraId="280D04B5" w14:textId="77777777" w:rsidR="00674FE8" w:rsidRDefault="00674FE8" w:rsidP="001D1963">
      <w:pPr>
        <w:pStyle w:val="FSADocumentText"/>
      </w:pPr>
    </w:p>
    <w:p w14:paraId="48D92440" w14:textId="545A9F06" w:rsidR="00963623" w:rsidRDefault="00963623" w:rsidP="001D1963">
      <w:pPr>
        <w:pStyle w:val="FSADocumentText"/>
      </w:pPr>
      <w:r w:rsidRPr="00963623">
        <w:lastRenderedPageBreak/>
        <w:t xml:space="preserve">It is proposed that the </w:t>
      </w:r>
      <w:r w:rsidR="00562BC8">
        <w:t>NSFR</w:t>
      </w:r>
      <w:r w:rsidRPr="00963623">
        <w:t xml:space="preserve"> Reporting Form will initially be introduced as an </w:t>
      </w:r>
      <w:r w:rsidRPr="00963623">
        <w:rPr>
          <w:u w:val="single"/>
        </w:rPr>
        <w:t xml:space="preserve">additional reporting </w:t>
      </w:r>
      <w:r w:rsidR="00674FE8" w:rsidRPr="00963623">
        <w:rPr>
          <w:u w:val="single"/>
        </w:rPr>
        <w:t>form</w:t>
      </w:r>
      <w:r w:rsidR="00674FE8">
        <w:t xml:space="preserve"> and</w:t>
      </w:r>
      <w:r w:rsidRPr="00963623">
        <w:t xml:space="preserve"> thus sit alongside existing reporting requirements currently set out in reporting </w:t>
      </w:r>
      <w:r w:rsidR="00674FE8">
        <w:t>f</w:t>
      </w:r>
      <w:r w:rsidRPr="00963623">
        <w:t>orm SR-3A</w:t>
      </w:r>
      <w:r w:rsidR="00674FE8">
        <w:t xml:space="preserve"> (</w:t>
      </w:r>
      <w:r w:rsidRPr="00963623">
        <w:t>maturity mismatch</w:t>
      </w:r>
      <w:r w:rsidR="00674FE8">
        <w:rPr>
          <w:rStyle w:val="FootnoteReference"/>
        </w:rPr>
        <w:footnoteReference w:id="6"/>
      </w:r>
      <w:r w:rsidRPr="00963623">
        <w:t xml:space="preserve"> and large depositors).</w:t>
      </w:r>
      <w:r w:rsidR="007117E7">
        <w:t xml:space="preserve"> </w:t>
      </w:r>
      <w:r w:rsidR="00674FE8">
        <w:t xml:space="preserve">As part of the wider implementation plan, </w:t>
      </w:r>
      <w:r w:rsidRPr="00674FE8">
        <w:t>form SR</w:t>
      </w:r>
      <w:r w:rsidR="00674FE8" w:rsidRPr="00674FE8">
        <w:t>-</w:t>
      </w:r>
      <w:r w:rsidRPr="00674FE8">
        <w:t xml:space="preserve">3A will </w:t>
      </w:r>
      <w:r w:rsidR="00674FE8">
        <w:t xml:space="preserve">ultimately be </w:t>
      </w:r>
      <w:r w:rsidRPr="00674FE8">
        <w:t>replaced by a full suite of amended liquidity reporting requirements</w:t>
      </w:r>
      <w:r w:rsidR="00674FE8">
        <w:t xml:space="preserve"> (including updated contractual mismatch and concentration of funding returns).</w:t>
      </w:r>
    </w:p>
    <w:p w14:paraId="5A97BC1C" w14:textId="77777777" w:rsidR="00674FE8" w:rsidRDefault="00674FE8" w:rsidP="001D1963">
      <w:pPr>
        <w:pStyle w:val="FSADocumentText"/>
      </w:pPr>
    </w:p>
    <w:p w14:paraId="27150476" w14:textId="260D3957" w:rsidR="00674FE8" w:rsidRDefault="00674FE8" w:rsidP="00C72B56">
      <w:pPr>
        <w:pStyle w:val="Heading3"/>
      </w:pPr>
      <w:bookmarkStart w:id="35" w:name="_Toc201927351"/>
      <w:r>
        <w:t>Specific transitional arrangements</w:t>
      </w:r>
      <w:bookmarkEnd w:id="35"/>
    </w:p>
    <w:p w14:paraId="301E53D7" w14:textId="77777777" w:rsidR="006F1CED" w:rsidRDefault="00674FE8" w:rsidP="001D1963">
      <w:pPr>
        <w:spacing w:after="0" w:line="240" w:lineRule="auto"/>
        <w:jc w:val="both"/>
        <w:rPr>
          <w:rFonts w:ascii="Calibri" w:hAnsi="Calibri" w:cs="Calibri"/>
          <w:szCs w:val="24"/>
        </w:rPr>
      </w:pPr>
      <w:r w:rsidRPr="00674FE8">
        <w:rPr>
          <w:rFonts w:ascii="Calibri" w:hAnsi="Calibri" w:cs="Calibri"/>
          <w:szCs w:val="24"/>
        </w:rPr>
        <w:t xml:space="preserve">Subject to </w:t>
      </w:r>
      <w:r>
        <w:rPr>
          <w:rFonts w:ascii="Calibri" w:hAnsi="Calibri" w:cs="Calibri"/>
          <w:szCs w:val="24"/>
        </w:rPr>
        <w:t xml:space="preserve">responses to this Paper, it is proposed that </w:t>
      </w:r>
      <w:r w:rsidR="006F1CED">
        <w:rPr>
          <w:rFonts w:ascii="Calibri" w:hAnsi="Calibri" w:cs="Calibri"/>
          <w:szCs w:val="24"/>
        </w:rPr>
        <w:t>—</w:t>
      </w:r>
    </w:p>
    <w:p w14:paraId="3BF98B01" w14:textId="77777777" w:rsidR="006F1CED" w:rsidRDefault="006F1CED" w:rsidP="001D1963">
      <w:pPr>
        <w:spacing w:after="0" w:line="240" w:lineRule="auto"/>
        <w:jc w:val="both"/>
        <w:rPr>
          <w:rFonts w:ascii="Calibri" w:hAnsi="Calibri" w:cs="Calibri"/>
          <w:szCs w:val="24"/>
        </w:rPr>
      </w:pPr>
    </w:p>
    <w:p w14:paraId="7301FDDD" w14:textId="39948959" w:rsidR="00674FE8" w:rsidRDefault="006F1CED" w:rsidP="00C72B56">
      <w:pPr>
        <w:pStyle w:val="ListParagraph"/>
        <w:numPr>
          <w:ilvl w:val="0"/>
          <w:numId w:val="41"/>
        </w:numPr>
        <w:spacing w:after="0" w:line="240" w:lineRule="auto"/>
        <w:jc w:val="both"/>
        <w:rPr>
          <w:rFonts w:ascii="Calibri" w:hAnsi="Calibri" w:cs="Calibri"/>
          <w:szCs w:val="24"/>
        </w:rPr>
      </w:pPr>
      <w:r>
        <w:rPr>
          <w:rFonts w:ascii="Calibri" w:hAnsi="Calibri" w:cs="Calibri"/>
          <w:szCs w:val="24"/>
        </w:rPr>
        <w:t>B</w:t>
      </w:r>
      <w:r w:rsidRPr="00C72B56">
        <w:rPr>
          <w:rFonts w:ascii="Calibri" w:hAnsi="Calibri" w:cs="Calibri"/>
          <w:szCs w:val="24"/>
        </w:rPr>
        <w:t xml:space="preserve">anks </w:t>
      </w:r>
      <w:r w:rsidR="00674FE8" w:rsidRPr="00C72B56">
        <w:rPr>
          <w:rFonts w:ascii="Calibri" w:hAnsi="Calibri" w:cs="Calibri"/>
          <w:szCs w:val="24"/>
        </w:rPr>
        <w:t xml:space="preserve">should start reporting </w:t>
      </w:r>
      <w:r w:rsidR="00562BC8">
        <w:rPr>
          <w:rFonts w:ascii="Calibri" w:hAnsi="Calibri" w:cs="Calibri"/>
          <w:szCs w:val="24"/>
        </w:rPr>
        <w:t>NSFR</w:t>
      </w:r>
      <w:r w:rsidR="00674FE8" w:rsidRPr="00C72B56">
        <w:rPr>
          <w:rFonts w:ascii="Calibri" w:hAnsi="Calibri" w:cs="Calibri"/>
          <w:szCs w:val="24"/>
        </w:rPr>
        <w:t xml:space="preserve"> information to the Authority (using the </w:t>
      </w:r>
      <w:r w:rsidR="00562BC8">
        <w:rPr>
          <w:rFonts w:ascii="Calibri" w:hAnsi="Calibri" w:cs="Calibri"/>
          <w:szCs w:val="24"/>
        </w:rPr>
        <w:t>NSFR</w:t>
      </w:r>
      <w:r w:rsidR="00674FE8" w:rsidRPr="00C72B56">
        <w:rPr>
          <w:rFonts w:ascii="Calibri" w:hAnsi="Calibri" w:cs="Calibri"/>
          <w:szCs w:val="24"/>
        </w:rPr>
        <w:t xml:space="preserve"> Reporting Form)</w:t>
      </w:r>
      <w:r w:rsidR="00674FE8" w:rsidRPr="006023F1">
        <w:rPr>
          <w:rFonts w:ascii="Calibri" w:hAnsi="Calibri" w:cs="Calibri"/>
          <w:szCs w:val="24"/>
        </w:rPr>
        <w:t xml:space="preserve"> </w:t>
      </w:r>
      <w:r w:rsidR="006023F1" w:rsidRPr="006023F1">
        <w:rPr>
          <w:rFonts w:ascii="Calibri" w:hAnsi="Calibri" w:cs="Calibri"/>
          <w:szCs w:val="24"/>
        </w:rPr>
        <w:t xml:space="preserve">in </w:t>
      </w:r>
      <w:r w:rsidR="00562BC8">
        <w:rPr>
          <w:rFonts w:ascii="Calibri" w:hAnsi="Calibri" w:cs="Calibri"/>
          <w:szCs w:val="24"/>
        </w:rPr>
        <w:t>align</w:t>
      </w:r>
      <w:r w:rsidR="006023F1">
        <w:rPr>
          <w:rFonts w:ascii="Calibri" w:hAnsi="Calibri" w:cs="Calibri"/>
          <w:szCs w:val="24"/>
        </w:rPr>
        <w:t>ment with the</w:t>
      </w:r>
      <w:r w:rsidR="00562BC8">
        <w:rPr>
          <w:rFonts w:ascii="Calibri" w:hAnsi="Calibri" w:cs="Calibri"/>
          <w:szCs w:val="24"/>
        </w:rPr>
        <w:t xml:space="preserve"> first reporting date with that </w:t>
      </w:r>
      <w:r w:rsidR="006023F1">
        <w:rPr>
          <w:rFonts w:ascii="Calibri" w:hAnsi="Calibri" w:cs="Calibri"/>
          <w:szCs w:val="24"/>
        </w:rPr>
        <w:t xml:space="preserve">to be agreed for the </w:t>
      </w:r>
      <w:r w:rsidR="00562BC8">
        <w:rPr>
          <w:rFonts w:ascii="Calibri" w:hAnsi="Calibri" w:cs="Calibri"/>
          <w:szCs w:val="24"/>
        </w:rPr>
        <w:t>LCR</w:t>
      </w:r>
      <w:r w:rsidR="006023F1">
        <w:rPr>
          <w:rFonts w:ascii="Calibri" w:hAnsi="Calibri" w:cs="Calibri"/>
          <w:szCs w:val="24"/>
        </w:rPr>
        <w:t>; at this stage that is expected to be for either the first or second quarter of 2026</w:t>
      </w:r>
      <w:r w:rsidR="006023F1">
        <w:rPr>
          <w:rStyle w:val="FootnoteReference"/>
          <w:rFonts w:ascii="Calibri" w:hAnsi="Calibri" w:cs="Calibri"/>
          <w:szCs w:val="24"/>
        </w:rPr>
        <w:footnoteReference w:id="7"/>
      </w:r>
      <w:r w:rsidR="006023F1">
        <w:rPr>
          <w:rFonts w:ascii="Calibri" w:hAnsi="Calibri" w:cs="Calibri"/>
          <w:szCs w:val="24"/>
        </w:rPr>
        <w:t>.</w:t>
      </w:r>
    </w:p>
    <w:p w14:paraId="26075666" w14:textId="77777777" w:rsidR="004426EB" w:rsidRPr="00C72B56" w:rsidRDefault="004426EB" w:rsidP="004426EB">
      <w:pPr>
        <w:pStyle w:val="ListParagraph"/>
        <w:spacing w:after="0" w:line="240" w:lineRule="auto"/>
        <w:jc w:val="both"/>
        <w:rPr>
          <w:rFonts w:ascii="Calibri" w:hAnsi="Calibri" w:cs="Calibri"/>
          <w:szCs w:val="24"/>
        </w:rPr>
      </w:pPr>
    </w:p>
    <w:p w14:paraId="39664EF7" w14:textId="2CF42048" w:rsidR="006F1CED" w:rsidRDefault="006F1CED" w:rsidP="006F1CED">
      <w:pPr>
        <w:pStyle w:val="ListParagraph"/>
        <w:numPr>
          <w:ilvl w:val="0"/>
          <w:numId w:val="41"/>
        </w:numPr>
        <w:spacing w:after="0" w:line="240" w:lineRule="auto"/>
        <w:jc w:val="both"/>
        <w:rPr>
          <w:rFonts w:ascii="Calibri" w:hAnsi="Calibri" w:cs="Calibri"/>
          <w:szCs w:val="24"/>
        </w:rPr>
      </w:pPr>
      <w:r>
        <w:rPr>
          <w:rFonts w:ascii="Calibri" w:hAnsi="Calibri" w:cs="Calibri"/>
          <w:szCs w:val="24"/>
        </w:rPr>
        <w:t>T</w:t>
      </w:r>
      <w:r w:rsidR="002055C4" w:rsidRPr="00C72B56">
        <w:rPr>
          <w:rFonts w:ascii="Calibri" w:hAnsi="Calibri" w:cs="Calibri"/>
          <w:szCs w:val="24"/>
        </w:rPr>
        <w:t xml:space="preserve">he formal regulatory requirements set out in </w:t>
      </w:r>
      <w:hyperlink w:anchor="_Proposed_core_regulatory" w:history="1">
        <w:r w:rsidRPr="005A5D1C">
          <w:rPr>
            <w:rStyle w:val="Hyperlink"/>
            <w:rFonts w:ascii="Calibri" w:hAnsi="Calibri" w:cs="Calibri"/>
            <w:szCs w:val="24"/>
          </w:rPr>
          <w:t>section 3.2 (Proposed Core Regulatory Requirements for the</w:t>
        </w:r>
        <w:r w:rsidR="002B0762">
          <w:rPr>
            <w:rStyle w:val="Hyperlink"/>
            <w:rFonts w:ascii="Calibri" w:hAnsi="Calibri" w:cs="Calibri"/>
            <w:szCs w:val="24"/>
          </w:rPr>
          <w:t xml:space="preserve"> NSFR</w:t>
        </w:r>
        <w:r w:rsidRPr="005A5D1C">
          <w:rPr>
            <w:rStyle w:val="Hyperlink"/>
            <w:rFonts w:ascii="Calibri" w:hAnsi="Calibri" w:cs="Calibri"/>
            <w:szCs w:val="24"/>
          </w:rPr>
          <w:t>)</w:t>
        </w:r>
      </w:hyperlink>
      <w:r w:rsidR="002055C4" w:rsidRPr="00C72B56">
        <w:rPr>
          <w:rFonts w:ascii="Calibri" w:hAnsi="Calibri" w:cs="Calibri"/>
          <w:szCs w:val="24"/>
        </w:rPr>
        <w:t xml:space="preserve"> would be put in place (most likely through directions / modifications to rules) </w:t>
      </w:r>
      <w:r w:rsidR="006023F1" w:rsidRPr="006023F1">
        <w:rPr>
          <w:rFonts w:ascii="Calibri" w:hAnsi="Calibri" w:cs="Calibri"/>
          <w:szCs w:val="24"/>
        </w:rPr>
        <w:t>to align with the agreed reporting</w:t>
      </w:r>
      <w:r w:rsidR="006023F1">
        <w:rPr>
          <w:rFonts w:ascii="Calibri" w:hAnsi="Calibri" w:cs="Calibri"/>
          <w:szCs w:val="24"/>
        </w:rPr>
        <w:t xml:space="preserve"> in (1) above</w:t>
      </w:r>
      <w:r w:rsidR="002055C4" w:rsidRPr="006023F1">
        <w:rPr>
          <w:rFonts w:ascii="Calibri" w:hAnsi="Calibri" w:cs="Calibri"/>
          <w:szCs w:val="24"/>
        </w:rPr>
        <w:t>.</w:t>
      </w:r>
      <w:r w:rsidR="00D758C8">
        <w:rPr>
          <w:rFonts w:ascii="Calibri" w:hAnsi="Calibri" w:cs="Calibri"/>
          <w:szCs w:val="24"/>
        </w:rPr>
        <w:t xml:space="preserve"> Any existing directions that refer to liquidity behavioural adjustments will also be amended to remove such adjustments.</w:t>
      </w:r>
    </w:p>
    <w:p w14:paraId="24F02CC1" w14:textId="77777777" w:rsidR="006F1CED" w:rsidRPr="00C72B56" w:rsidRDefault="006F1CED" w:rsidP="00C72B56">
      <w:pPr>
        <w:pStyle w:val="ListParagraph"/>
        <w:rPr>
          <w:rFonts w:ascii="Calibri" w:hAnsi="Calibri" w:cs="Calibri"/>
          <w:szCs w:val="24"/>
        </w:rPr>
      </w:pPr>
    </w:p>
    <w:p w14:paraId="40724804" w14:textId="0484A3EC" w:rsidR="002055C4" w:rsidRPr="00C72B56" w:rsidRDefault="002055C4" w:rsidP="005A5D1C">
      <w:pPr>
        <w:pStyle w:val="ListParagraph"/>
        <w:numPr>
          <w:ilvl w:val="0"/>
          <w:numId w:val="41"/>
        </w:numPr>
        <w:spacing w:after="0" w:line="240" w:lineRule="auto"/>
        <w:jc w:val="both"/>
        <w:rPr>
          <w:rFonts w:ascii="Calibri" w:hAnsi="Calibri" w:cs="Calibri"/>
          <w:szCs w:val="24"/>
        </w:rPr>
      </w:pPr>
      <w:r w:rsidRPr="00C72B56">
        <w:rPr>
          <w:rFonts w:ascii="Calibri" w:hAnsi="Calibri" w:cs="Calibri"/>
          <w:szCs w:val="24"/>
        </w:rPr>
        <w:t>At the same time</w:t>
      </w:r>
      <w:r w:rsidR="004426EB">
        <w:rPr>
          <w:rFonts w:ascii="Calibri" w:hAnsi="Calibri" w:cs="Calibri"/>
          <w:szCs w:val="24"/>
        </w:rPr>
        <w:t xml:space="preserve"> </w:t>
      </w:r>
      <w:r w:rsidR="006023F1">
        <w:rPr>
          <w:rFonts w:ascii="Calibri" w:hAnsi="Calibri" w:cs="Calibri"/>
          <w:szCs w:val="24"/>
        </w:rPr>
        <w:t>as will be agreed for (2) above</w:t>
      </w:r>
      <w:r w:rsidRPr="00C72B56">
        <w:rPr>
          <w:rFonts w:ascii="Calibri" w:hAnsi="Calibri" w:cs="Calibri"/>
          <w:szCs w:val="24"/>
        </w:rPr>
        <w:t>, the current mismatch rules would be disapplied.</w:t>
      </w:r>
      <w:r w:rsidR="007117E7" w:rsidRPr="00C72B56">
        <w:rPr>
          <w:rFonts w:ascii="Calibri" w:hAnsi="Calibri" w:cs="Calibri"/>
          <w:szCs w:val="24"/>
        </w:rPr>
        <w:t xml:space="preserve"> </w:t>
      </w:r>
      <w:r w:rsidR="00B80237" w:rsidRPr="00C72B56">
        <w:rPr>
          <w:rFonts w:ascii="Calibri" w:hAnsi="Calibri" w:cs="Calibri"/>
          <w:szCs w:val="24"/>
        </w:rPr>
        <w:t>However,</w:t>
      </w:r>
      <w:r w:rsidRPr="00C72B56">
        <w:rPr>
          <w:rFonts w:ascii="Calibri" w:hAnsi="Calibri" w:cs="Calibri"/>
          <w:szCs w:val="24"/>
        </w:rPr>
        <w:t xml:space="preserve"> </w:t>
      </w:r>
      <w:r w:rsidRPr="003B52E5">
        <w:rPr>
          <w:rFonts w:ascii="Calibri" w:hAnsi="Calibri" w:cs="Calibri"/>
          <w:b/>
          <w:bCs/>
          <w:szCs w:val="24"/>
        </w:rPr>
        <w:t xml:space="preserve">the maturity mismatch report and large depositor return (the current form SR-3A) </w:t>
      </w:r>
      <w:r w:rsidR="006023F1" w:rsidRPr="006023F1">
        <w:rPr>
          <w:rFonts w:ascii="Calibri" w:hAnsi="Calibri" w:cs="Calibri"/>
          <w:b/>
          <w:bCs/>
          <w:szCs w:val="24"/>
          <w:u w:val="single"/>
        </w:rPr>
        <w:t>may</w:t>
      </w:r>
      <w:r w:rsidR="006023F1">
        <w:rPr>
          <w:rFonts w:ascii="Calibri" w:hAnsi="Calibri" w:cs="Calibri"/>
          <w:b/>
          <w:bCs/>
          <w:szCs w:val="24"/>
        </w:rPr>
        <w:t xml:space="preserve"> </w:t>
      </w:r>
      <w:r w:rsidRPr="003B52E5">
        <w:rPr>
          <w:rFonts w:ascii="Calibri" w:hAnsi="Calibri" w:cs="Calibri"/>
          <w:b/>
          <w:bCs/>
          <w:szCs w:val="24"/>
        </w:rPr>
        <w:t>still be required to be submitted</w:t>
      </w:r>
      <w:r w:rsidRPr="00C72B56">
        <w:rPr>
          <w:rFonts w:ascii="Calibri" w:hAnsi="Calibri" w:cs="Calibri"/>
          <w:szCs w:val="24"/>
        </w:rPr>
        <w:t>, but banks would not need to include behavioural adjustment information (the mismatch report would therefore be on a contractual basis).</w:t>
      </w:r>
      <w:r w:rsidR="007117E7" w:rsidRPr="00C72B56">
        <w:rPr>
          <w:rFonts w:ascii="Calibri" w:hAnsi="Calibri" w:cs="Calibri"/>
          <w:szCs w:val="24"/>
        </w:rPr>
        <w:t xml:space="preserve"> </w:t>
      </w:r>
      <w:r w:rsidRPr="00C72B56">
        <w:rPr>
          <w:rFonts w:ascii="Calibri" w:hAnsi="Calibri" w:cs="Calibri"/>
          <w:szCs w:val="24"/>
        </w:rPr>
        <w:t>This mismatch report will be replaced by new contractual mismatch reporting in relatively short order</w:t>
      </w:r>
      <w:r w:rsidR="00DB4AE5" w:rsidRPr="00C72B56">
        <w:rPr>
          <w:rFonts w:ascii="Calibri" w:hAnsi="Calibri" w:cs="Calibri"/>
          <w:szCs w:val="24"/>
        </w:rPr>
        <w:t>.</w:t>
      </w:r>
    </w:p>
    <w:p w14:paraId="6F4C9D6F" w14:textId="77777777" w:rsidR="001D1963" w:rsidRDefault="001D1963" w:rsidP="001D1963">
      <w:pPr>
        <w:spacing w:after="0" w:line="240" w:lineRule="auto"/>
        <w:jc w:val="both"/>
        <w:rPr>
          <w:rFonts w:ascii="Calibri" w:hAnsi="Calibri" w:cs="Calibri"/>
          <w:szCs w:val="24"/>
        </w:rPr>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A9481B" w:rsidRPr="00031DE2" w14:paraId="7F141E87" w14:textId="77777777" w:rsidTr="00014790">
        <w:tc>
          <w:tcPr>
            <w:tcW w:w="5000" w:type="pct"/>
            <w:shd w:val="clear" w:color="auto" w:fill="005782"/>
          </w:tcPr>
          <w:p w14:paraId="6161C6CA" w14:textId="0C60AD19" w:rsidR="00A9481B" w:rsidRPr="00031DE2" w:rsidRDefault="00A9481B" w:rsidP="00014790">
            <w:pPr>
              <w:rPr>
                <w:color w:val="FFFFFF" w:themeColor="background1"/>
              </w:rPr>
            </w:pPr>
            <w:r w:rsidRPr="00031DE2">
              <w:rPr>
                <w:color w:val="FFFFFF" w:themeColor="background1"/>
              </w:rPr>
              <w:t xml:space="preserve">Question </w:t>
            </w:r>
            <w:r w:rsidR="00562BC8">
              <w:rPr>
                <w:color w:val="FFFFFF" w:themeColor="background1"/>
              </w:rPr>
              <w:t>6</w:t>
            </w:r>
          </w:p>
        </w:tc>
      </w:tr>
      <w:tr w:rsidR="00A9481B" w:rsidRPr="00DB4AE5" w14:paraId="66669072" w14:textId="77777777" w:rsidTr="00014790">
        <w:tc>
          <w:tcPr>
            <w:tcW w:w="5000" w:type="pct"/>
            <w:shd w:val="clear" w:color="auto" w:fill="CAD8D7"/>
          </w:tcPr>
          <w:p w14:paraId="0B26218D" w14:textId="00E8D5A8" w:rsidR="00562BC8" w:rsidRDefault="00A9481B" w:rsidP="00014790">
            <w:pPr>
              <w:jc w:val="both"/>
              <w:rPr>
                <w:rFonts w:ascii="Calibri" w:hAnsi="Calibri" w:cs="Calibri"/>
                <w:szCs w:val="24"/>
              </w:rPr>
            </w:pPr>
            <w:r w:rsidRPr="00DB4AE5">
              <w:rPr>
                <w:rFonts w:ascii="Calibri" w:hAnsi="Calibri" w:cs="Calibri"/>
                <w:szCs w:val="24"/>
              </w:rPr>
              <w:t xml:space="preserve">Do you agree with the proposal to start reporting </w:t>
            </w:r>
            <w:r w:rsidR="00562BC8">
              <w:rPr>
                <w:rFonts w:ascii="Calibri" w:hAnsi="Calibri" w:cs="Calibri"/>
                <w:szCs w:val="24"/>
              </w:rPr>
              <w:t>NSFR</w:t>
            </w:r>
            <w:r w:rsidRPr="00DB4AE5">
              <w:rPr>
                <w:rFonts w:ascii="Calibri" w:hAnsi="Calibri" w:cs="Calibri"/>
                <w:szCs w:val="24"/>
              </w:rPr>
              <w:t xml:space="preserve"> information to the Authority </w:t>
            </w:r>
            <w:r w:rsidR="006023F1">
              <w:rPr>
                <w:rFonts w:ascii="Calibri" w:hAnsi="Calibri" w:cs="Calibri"/>
                <w:szCs w:val="24"/>
              </w:rPr>
              <w:t>in alignment with the LCR (expected Q1 or Q2 2026)</w:t>
            </w:r>
            <w:r w:rsidR="00562BC8">
              <w:rPr>
                <w:rFonts w:ascii="Calibri" w:hAnsi="Calibri" w:cs="Calibri"/>
                <w:szCs w:val="24"/>
              </w:rPr>
              <w:t>?</w:t>
            </w:r>
          </w:p>
          <w:p w14:paraId="00118A68" w14:textId="77777777" w:rsidR="00562BC8" w:rsidRDefault="00562BC8" w:rsidP="00014790">
            <w:pPr>
              <w:jc w:val="both"/>
              <w:rPr>
                <w:rFonts w:ascii="Calibri" w:hAnsi="Calibri" w:cs="Calibri"/>
                <w:szCs w:val="24"/>
              </w:rPr>
            </w:pPr>
          </w:p>
          <w:p w14:paraId="41E41781" w14:textId="71FC7093" w:rsidR="00A9481B" w:rsidRPr="00DB4AE5" w:rsidRDefault="00A9481B" w:rsidP="00014790">
            <w:pPr>
              <w:jc w:val="both"/>
            </w:pPr>
            <w:r w:rsidRPr="00DB4AE5">
              <w:rPr>
                <w:rFonts w:ascii="Calibri" w:hAnsi="Calibri" w:cs="Calibri"/>
                <w:szCs w:val="24"/>
              </w:rPr>
              <w:t>If this proposed date</w:t>
            </w:r>
            <w:r w:rsidR="00562BC8">
              <w:rPr>
                <w:rFonts w:ascii="Calibri" w:hAnsi="Calibri" w:cs="Calibri"/>
                <w:szCs w:val="24"/>
              </w:rPr>
              <w:t>(s)</w:t>
            </w:r>
            <w:r w:rsidRPr="00DB4AE5">
              <w:rPr>
                <w:rFonts w:ascii="Calibri" w:hAnsi="Calibri" w:cs="Calibri"/>
                <w:szCs w:val="24"/>
              </w:rPr>
              <w:t xml:space="preserve"> would cause you difficulties, please provide an alternative date for commencing reporting and summarise the reasons why.</w:t>
            </w:r>
            <w:r>
              <w:rPr>
                <w:rFonts w:ascii="Calibri" w:hAnsi="Calibri" w:cs="Calibri"/>
                <w:szCs w:val="24"/>
              </w:rPr>
              <w:t xml:space="preserve"> </w:t>
            </w:r>
          </w:p>
        </w:tc>
      </w:tr>
    </w:tbl>
    <w:p w14:paraId="73DED224" w14:textId="77777777" w:rsidR="00A9481B" w:rsidRDefault="00A9481B" w:rsidP="001D1963">
      <w:pPr>
        <w:spacing w:after="0" w:line="240" w:lineRule="auto"/>
        <w:jc w:val="both"/>
        <w:rPr>
          <w:rFonts w:ascii="Calibri" w:hAnsi="Calibri" w:cs="Calibri"/>
          <w:szCs w:val="24"/>
        </w:rPr>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A9481B" w:rsidRPr="00031DE2" w14:paraId="7F177AD5" w14:textId="77777777" w:rsidTr="00014790">
        <w:tc>
          <w:tcPr>
            <w:tcW w:w="5000" w:type="pct"/>
            <w:shd w:val="clear" w:color="auto" w:fill="005782"/>
          </w:tcPr>
          <w:p w14:paraId="4F54B102" w14:textId="2A3905B2" w:rsidR="00A9481B" w:rsidRPr="00031DE2" w:rsidRDefault="00A9481B" w:rsidP="00C72B56">
            <w:pPr>
              <w:jc w:val="both"/>
              <w:rPr>
                <w:color w:val="FFFFFF" w:themeColor="background1"/>
              </w:rPr>
            </w:pPr>
            <w:r w:rsidRPr="00031DE2">
              <w:rPr>
                <w:color w:val="FFFFFF" w:themeColor="background1"/>
              </w:rPr>
              <w:t xml:space="preserve">Question </w:t>
            </w:r>
            <w:r w:rsidR="00562BC8">
              <w:rPr>
                <w:color w:val="FFFFFF" w:themeColor="background1"/>
              </w:rPr>
              <w:t>7</w:t>
            </w:r>
          </w:p>
        </w:tc>
      </w:tr>
      <w:tr w:rsidR="00A9481B" w:rsidRPr="00DB4AE5" w14:paraId="466D7631" w14:textId="77777777" w:rsidTr="00014790">
        <w:tc>
          <w:tcPr>
            <w:tcW w:w="5000" w:type="pct"/>
            <w:shd w:val="clear" w:color="auto" w:fill="CAD8D7"/>
          </w:tcPr>
          <w:p w14:paraId="42D026CE" w14:textId="19156683" w:rsidR="00A9481B" w:rsidRPr="00DB4AE5" w:rsidRDefault="00A9481B" w:rsidP="00C72B56">
            <w:pPr>
              <w:jc w:val="both"/>
            </w:pPr>
            <w:r w:rsidRPr="00DB4AE5">
              <w:rPr>
                <w:rFonts w:ascii="Calibri" w:hAnsi="Calibri" w:cs="Calibri"/>
                <w:szCs w:val="24"/>
              </w:rPr>
              <w:t xml:space="preserve">Do you agree with the proposal to introduce the proposed regulatory requirements for </w:t>
            </w:r>
            <w:r w:rsidR="00562BC8">
              <w:rPr>
                <w:rFonts w:ascii="Calibri" w:hAnsi="Calibri" w:cs="Calibri"/>
                <w:szCs w:val="24"/>
              </w:rPr>
              <w:t>NSFR</w:t>
            </w:r>
            <w:r w:rsidRPr="00DB4AE5">
              <w:rPr>
                <w:rFonts w:ascii="Calibri" w:hAnsi="Calibri" w:cs="Calibri"/>
                <w:szCs w:val="24"/>
              </w:rPr>
              <w:t xml:space="preserve"> </w:t>
            </w:r>
            <w:r w:rsidR="006023F1">
              <w:rPr>
                <w:rFonts w:ascii="Calibri" w:hAnsi="Calibri" w:cs="Calibri"/>
                <w:szCs w:val="24"/>
              </w:rPr>
              <w:t>in 2026 aligned to the final agreed first reporting date</w:t>
            </w:r>
            <w:r w:rsidRPr="00DB4AE5">
              <w:rPr>
                <w:rFonts w:ascii="Calibri" w:hAnsi="Calibri" w:cs="Calibri"/>
                <w:szCs w:val="24"/>
              </w:rPr>
              <w:t>?</w:t>
            </w:r>
            <w:r>
              <w:rPr>
                <w:rFonts w:ascii="Calibri" w:hAnsi="Calibri" w:cs="Calibri"/>
                <w:szCs w:val="24"/>
              </w:rPr>
              <w:t xml:space="preserve"> </w:t>
            </w:r>
            <w:r w:rsidRPr="00DB4AE5">
              <w:rPr>
                <w:rFonts w:ascii="Calibri" w:hAnsi="Calibri" w:cs="Calibri"/>
                <w:szCs w:val="24"/>
              </w:rPr>
              <w:t>If this proposed date would cause you difficulties, please provide an alternative date and summarise the reasons why.</w:t>
            </w:r>
          </w:p>
        </w:tc>
      </w:tr>
    </w:tbl>
    <w:p w14:paraId="7B972427" w14:textId="77777777" w:rsidR="00B80237" w:rsidRPr="00C649E9" w:rsidRDefault="00B80237" w:rsidP="001D1963">
      <w:pPr>
        <w:spacing w:after="0" w:line="240" w:lineRule="auto"/>
        <w:jc w:val="both"/>
        <w:rPr>
          <w:rFonts w:ascii="Calibri" w:hAnsi="Calibri" w:cs="Calibri"/>
          <w:szCs w:val="24"/>
        </w:rPr>
      </w:pPr>
    </w:p>
    <w:p w14:paraId="2E55E383" w14:textId="6C131B95" w:rsidR="00E74B73" w:rsidRDefault="00E74B73" w:rsidP="00E74B73">
      <w:pPr>
        <w:pStyle w:val="Heading1"/>
      </w:pPr>
      <w:bookmarkStart w:id="36" w:name="_Toc201927352"/>
      <w:r>
        <w:lastRenderedPageBreak/>
        <w:t>Impact Assessment</w:t>
      </w:r>
      <w:bookmarkEnd w:id="36"/>
    </w:p>
    <w:p w14:paraId="37D9C937" w14:textId="7BC38567" w:rsidR="00B4226E" w:rsidRDefault="00B4226E" w:rsidP="001D1963">
      <w:pPr>
        <w:spacing w:after="0" w:line="240" w:lineRule="auto"/>
        <w:jc w:val="both"/>
      </w:pPr>
      <w:r>
        <w:t xml:space="preserve">The Authority recognises that introducing new regulatory requirements can carry a cost for industry, both initially (to implement the changes) and on an ongoing compliance basis. </w:t>
      </w:r>
    </w:p>
    <w:p w14:paraId="598603E2" w14:textId="77777777" w:rsidR="00B4226E" w:rsidRDefault="00B4226E" w:rsidP="001D1963">
      <w:pPr>
        <w:spacing w:after="0" w:line="240" w:lineRule="auto"/>
        <w:jc w:val="both"/>
      </w:pPr>
    </w:p>
    <w:p w14:paraId="6318D5D5" w14:textId="6D20442B" w:rsidR="00B4226E" w:rsidRDefault="00B4226E" w:rsidP="001D1963">
      <w:pPr>
        <w:spacing w:after="0" w:line="240" w:lineRule="auto"/>
        <w:jc w:val="both"/>
      </w:pPr>
      <w:r>
        <w:t xml:space="preserve">Most banks incorporated in the Island are already calculating and reporting liquidity metrics for other regulators on a Basel III basis, including for </w:t>
      </w:r>
      <w:r w:rsidR="008C7586">
        <w:t xml:space="preserve">the </w:t>
      </w:r>
      <w:r w:rsidR="00562BC8">
        <w:t>NSFR</w:t>
      </w:r>
      <w:r>
        <w:t>.</w:t>
      </w:r>
      <w:r w:rsidR="007117E7">
        <w:t xml:space="preserve"> </w:t>
      </w:r>
      <w:r>
        <w:t>This is because they are either reporting upwards for group consolidated purposes or reporting directly to host supervisors where they operate overseas branches.</w:t>
      </w:r>
      <w:r w:rsidR="007117E7">
        <w:t xml:space="preserve"> </w:t>
      </w:r>
      <w:r>
        <w:t>Moving towards a Basel III liquidity framework in the Island will help to bring more consistency in reporting requirements for most banks</w:t>
      </w:r>
      <w:r w:rsidR="00D758C8">
        <w:t xml:space="preserve">, will make sure applicable international standards are applied, </w:t>
      </w:r>
      <w:r>
        <w:t>and help the Authority to better monitor liquidity risks in the sector</w:t>
      </w:r>
      <w:r w:rsidR="009A0472">
        <w:t xml:space="preserve">, as part of the framework </w:t>
      </w:r>
      <w:r w:rsidR="008C7586">
        <w:t xml:space="preserve">for </w:t>
      </w:r>
      <w:r w:rsidR="009A0472">
        <w:t>providing adequate protection for consumers</w:t>
      </w:r>
      <w:r>
        <w:t>.</w:t>
      </w:r>
      <w:r w:rsidR="007117E7">
        <w:t xml:space="preserve"> </w:t>
      </w:r>
      <w:r>
        <w:t xml:space="preserve"> </w:t>
      </w:r>
      <w:r w:rsidR="009A0472">
        <w:t xml:space="preserve">In this respect, the Authority </w:t>
      </w:r>
      <w:r>
        <w:t>does not consider it viable to continue with the existing liquidity framework for the regulation and supervision of the banking sector in the Island.</w:t>
      </w:r>
      <w:r w:rsidR="007117E7">
        <w:t xml:space="preserve"> </w:t>
      </w:r>
    </w:p>
    <w:p w14:paraId="390AC35F" w14:textId="77777777" w:rsidR="009A0472" w:rsidRDefault="009A0472" w:rsidP="001D1963">
      <w:pPr>
        <w:spacing w:after="0" w:line="240" w:lineRule="auto"/>
        <w:jc w:val="both"/>
      </w:pPr>
    </w:p>
    <w:p w14:paraId="2E804B52" w14:textId="52B2DA7D" w:rsidR="009A0472" w:rsidRDefault="009A0472" w:rsidP="001D1963">
      <w:pPr>
        <w:spacing w:after="0" w:line="240" w:lineRule="auto"/>
        <w:jc w:val="both"/>
      </w:pPr>
      <w:r>
        <w:t xml:space="preserve">Under Schedule 1, paragraph 2(1) of </w:t>
      </w:r>
      <w:r w:rsidRPr="002B6C4F">
        <w:t xml:space="preserve">the </w:t>
      </w:r>
      <w:r w:rsidR="002B6C4F" w:rsidRPr="002B6C4F">
        <w:t>FSA08</w:t>
      </w:r>
      <w:r w:rsidRPr="002B6C4F">
        <w:t>,</w:t>
      </w:r>
      <w:r>
        <w:t xml:space="preserve"> the functions of the Authority include “the regulation and supervision of persons undertaking regulated activity” and “the maintenance and development of the regulatory regime for regulated activities”.</w:t>
      </w:r>
      <w:r w:rsidR="007117E7">
        <w:t xml:space="preserve"> </w:t>
      </w:r>
      <w:r>
        <w:t xml:space="preserve">The proposed introduction of the </w:t>
      </w:r>
      <w:r w:rsidR="00562BC8">
        <w:t>NSFR</w:t>
      </w:r>
      <w:r>
        <w:t>, and other changes to liquidity requirements (</w:t>
      </w:r>
      <w:r w:rsidRPr="005A5D1C">
        <w:t>that will be subject to further discussion</w:t>
      </w:r>
      <w:r w:rsidR="005A5D1C" w:rsidRPr="005A5D1C">
        <w:t>, including DP25-01</w:t>
      </w:r>
      <w:r>
        <w:t>), is directly compatible with these functions.</w:t>
      </w:r>
    </w:p>
    <w:p w14:paraId="590FBD46" w14:textId="77777777" w:rsidR="009A0472" w:rsidRDefault="009A0472" w:rsidP="001D1963">
      <w:pPr>
        <w:spacing w:after="0" w:line="240" w:lineRule="auto"/>
        <w:jc w:val="both"/>
      </w:pPr>
    </w:p>
    <w:p w14:paraId="69F2E3E5" w14:textId="41B358A7" w:rsidR="00317723" w:rsidRDefault="00B4226E" w:rsidP="001D1963">
      <w:pPr>
        <w:spacing w:after="0" w:line="240" w:lineRule="auto"/>
        <w:jc w:val="both"/>
      </w:pPr>
      <w:r w:rsidRPr="00B4226E">
        <w:t xml:space="preserve">In discharging its </w:t>
      </w:r>
      <w:r w:rsidR="009A0472" w:rsidRPr="00B4226E">
        <w:t>functions,</w:t>
      </w:r>
      <w:r w:rsidRPr="00B4226E">
        <w:t xml:space="preserve"> the Authority must have regard to</w:t>
      </w:r>
      <w:r w:rsidR="009A0472">
        <w:t xml:space="preserve"> the factors set out in Schedule 1, paragraph 3 of the </w:t>
      </w:r>
      <w:r w:rsidR="002B6C4F">
        <w:t>FSA08</w:t>
      </w:r>
      <w:r w:rsidR="009A0472">
        <w:t>.</w:t>
      </w:r>
      <w:r w:rsidR="007117E7">
        <w:t xml:space="preserve"> </w:t>
      </w:r>
      <w:r w:rsidRPr="00B4226E">
        <w:t xml:space="preserve"> </w:t>
      </w:r>
      <w:r w:rsidR="009A0472">
        <w:t xml:space="preserve">The </w:t>
      </w:r>
      <w:r w:rsidR="002B6C4F">
        <w:t>most relevant factors pertaining to the proposals in the Paper are set out below, together with a brief assessment</w:t>
      </w:r>
      <w:r w:rsidR="00A9481B">
        <w:t>:</w:t>
      </w:r>
    </w:p>
    <w:p w14:paraId="04DC41AD" w14:textId="77777777" w:rsidR="002B6C4F" w:rsidRDefault="002B6C4F" w:rsidP="001D1963">
      <w:pPr>
        <w:spacing w:after="0" w:line="240" w:lineRule="auto"/>
        <w:jc w:val="both"/>
      </w:pPr>
    </w:p>
    <w:tbl>
      <w:tblPr>
        <w:tblStyle w:val="TableGrid"/>
        <w:tblW w:w="0" w:type="auto"/>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5098"/>
        <w:gridCol w:w="3918"/>
      </w:tblGrid>
      <w:tr w:rsidR="002B6C4F" w:rsidRPr="001D1963" w14:paraId="44B67535" w14:textId="77777777" w:rsidTr="00D12381">
        <w:tc>
          <w:tcPr>
            <w:tcW w:w="5098" w:type="dxa"/>
            <w:shd w:val="clear" w:color="auto" w:fill="005782"/>
          </w:tcPr>
          <w:p w14:paraId="45C14BB2" w14:textId="6C08CF94" w:rsidR="002B6C4F" w:rsidRPr="001D1963" w:rsidRDefault="002B6C4F" w:rsidP="005A5D1C">
            <w:pPr>
              <w:jc w:val="center"/>
              <w:rPr>
                <w:color w:val="FFFFFF" w:themeColor="background1"/>
              </w:rPr>
            </w:pPr>
            <w:r w:rsidRPr="001D1963">
              <w:rPr>
                <w:color w:val="FFFFFF" w:themeColor="background1"/>
              </w:rPr>
              <w:t>Factor</w:t>
            </w:r>
          </w:p>
        </w:tc>
        <w:tc>
          <w:tcPr>
            <w:tcW w:w="3918" w:type="dxa"/>
            <w:shd w:val="clear" w:color="auto" w:fill="005782"/>
          </w:tcPr>
          <w:p w14:paraId="2381C6DB" w14:textId="7C7A7F48" w:rsidR="002B6C4F" w:rsidRPr="001D1963" w:rsidRDefault="002B6C4F" w:rsidP="005A5D1C">
            <w:pPr>
              <w:jc w:val="center"/>
              <w:rPr>
                <w:color w:val="FFFFFF" w:themeColor="background1"/>
              </w:rPr>
            </w:pPr>
            <w:r w:rsidRPr="001D1963">
              <w:rPr>
                <w:color w:val="FFFFFF" w:themeColor="background1"/>
              </w:rPr>
              <w:t>Assessment</w:t>
            </w:r>
          </w:p>
        </w:tc>
      </w:tr>
      <w:tr w:rsidR="002B6C4F" w14:paraId="53AC98A8" w14:textId="77777777" w:rsidTr="00D12381">
        <w:tc>
          <w:tcPr>
            <w:tcW w:w="5098" w:type="dxa"/>
          </w:tcPr>
          <w:p w14:paraId="26BB4E31" w14:textId="5839A3AA" w:rsidR="002B6C4F" w:rsidRDefault="00A9481B" w:rsidP="005A5D1C">
            <w:pPr>
              <w:jc w:val="both"/>
            </w:pPr>
            <w:r>
              <w:t>T</w:t>
            </w:r>
            <w:r w:rsidRPr="00B4226E">
              <w:t xml:space="preserve">he </w:t>
            </w:r>
            <w:r w:rsidR="002B6C4F" w:rsidRPr="00B4226E">
              <w:t>need to balance the regulatory objectives</w:t>
            </w:r>
          </w:p>
        </w:tc>
        <w:tc>
          <w:tcPr>
            <w:tcW w:w="3918" w:type="dxa"/>
          </w:tcPr>
          <w:p w14:paraId="7AB382C4" w14:textId="5C9F1487" w:rsidR="002B6C4F" w:rsidRPr="005B47B1" w:rsidRDefault="002B6C4F" w:rsidP="005A5D1C">
            <w:pPr>
              <w:jc w:val="both"/>
              <w:rPr>
                <w:b/>
                <w:bCs/>
              </w:rPr>
            </w:pPr>
            <w:r w:rsidRPr="005B47B1">
              <w:rPr>
                <w:b/>
                <w:bCs/>
              </w:rPr>
              <w:t>Neutral impact</w:t>
            </w:r>
          </w:p>
        </w:tc>
      </w:tr>
      <w:tr w:rsidR="002B6C4F" w14:paraId="6E68C27E" w14:textId="77777777" w:rsidTr="00D12381">
        <w:tc>
          <w:tcPr>
            <w:tcW w:w="5098" w:type="dxa"/>
          </w:tcPr>
          <w:p w14:paraId="1F693DD3" w14:textId="2B71E3FE" w:rsidR="002B6C4F" w:rsidRDefault="00A9481B" w:rsidP="005A5D1C">
            <w:pPr>
              <w:jc w:val="both"/>
            </w:pPr>
            <w:r>
              <w:t>T</w:t>
            </w:r>
            <w:r w:rsidRPr="00B4226E">
              <w:t xml:space="preserve">he </w:t>
            </w:r>
            <w:r w:rsidR="002B6C4F" w:rsidRPr="00B4226E">
              <w:t>need for the regulatory, supervisory and registration regimes to be effective, responsive to commercial developments and proportionate to the benefits which are expected to result from the imposition of any regulatory burden</w:t>
            </w:r>
          </w:p>
        </w:tc>
        <w:tc>
          <w:tcPr>
            <w:tcW w:w="3918" w:type="dxa"/>
          </w:tcPr>
          <w:p w14:paraId="2375847F" w14:textId="711998FF" w:rsidR="002B6C4F" w:rsidRPr="005B47B1" w:rsidRDefault="002B6C4F" w:rsidP="005A5D1C">
            <w:pPr>
              <w:jc w:val="both"/>
              <w:rPr>
                <w:b/>
                <w:bCs/>
              </w:rPr>
            </w:pPr>
            <w:r w:rsidRPr="005B47B1">
              <w:rPr>
                <w:b/>
                <w:bCs/>
              </w:rPr>
              <w:t>Neutral impact</w:t>
            </w:r>
            <w:r w:rsidR="005B47B1" w:rsidRPr="00C72B56">
              <w:t xml:space="preserve"> – </w:t>
            </w:r>
            <w:r w:rsidR="005B47B1" w:rsidRPr="005B47B1">
              <w:t>an updated framework should be more effective, balanced against any increased cost burden</w:t>
            </w:r>
            <w:r w:rsidR="00A35F1B">
              <w:t xml:space="preserve">. The Authority has suggested a proportionate approach to the frequency of reporting. </w:t>
            </w:r>
          </w:p>
        </w:tc>
      </w:tr>
      <w:tr w:rsidR="002B6C4F" w14:paraId="20F70482" w14:textId="77777777" w:rsidTr="00D12381">
        <w:tc>
          <w:tcPr>
            <w:tcW w:w="5098" w:type="dxa"/>
          </w:tcPr>
          <w:p w14:paraId="43FA4B1E" w14:textId="19E28B45" w:rsidR="002B6C4F" w:rsidRDefault="00A9481B" w:rsidP="005A5D1C">
            <w:pPr>
              <w:jc w:val="both"/>
            </w:pPr>
            <w:r>
              <w:t>T</w:t>
            </w:r>
            <w:r w:rsidRPr="00B4226E">
              <w:t xml:space="preserve">he </w:t>
            </w:r>
            <w:r w:rsidR="002B6C4F" w:rsidRPr="00B4226E">
              <w:t>desirability of implementing and applying recognised international standards</w:t>
            </w:r>
          </w:p>
        </w:tc>
        <w:tc>
          <w:tcPr>
            <w:tcW w:w="3918" w:type="dxa"/>
          </w:tcPr>
          <w:p w14:paraId="742094BD" w14:textId="3008B0C7" w:rsidR="002B6C4F" w:rsidRDefault="002B6C4F" w:rsidP="005A5D1C">
            <w:pPr>
              <w:jc w:val="both"/>
            </w:pPr>
            <w:r w:rsidRPr="005B47B1">
              <w:rPr>
                <w:b/>
                <w:bCs/>
              </w:rPr>
              <w:t>Positive impact</w:t>
            </w:r>
            <w:r w:rsidR="005B47B1">
              <w:t xml:space="preserve"> – Basel III and</w:t>
            </w:r>
            <w:r w:rsidR="005A5D1C">
              <w:t xml:space="preserve"> NSFR</w:t>
            </w:r>
            <w:r w:rsidR="005B47B1">
              <w:t xml:space="preserve"> is the recognised international standard</w:t>
            </w:r>
          </w:p>
        </w:tc>
      </w:tr>
      <w:tr w:rsidR="002B6C4F" w14:paraId="6D886805" w14:textId="77777777" w:rsidTr="00D12381">
        <w:tc>
          <w:tcPr>
            <w:tcW w:w="5098" w:type="dxa"/>
          </w:tcPr>
          <w:p w14:paraId="3F74ADCB" w14:textId="2305A56B" w:rsidR="002B6C4F" w:rsidRDefault="00A9481B" w:rsidP="005A5D1C">
            <w:pPr>
              <w:jc w:val="both"/>
            </w:pPr>
            <w:r>
              <w:t>T</w:t>
            </w:r>
            <w:r w:rsidRPr="00B4226E">
              <w:t xml:space="preserve">he </w:t>
            </w:r>
            <w:r w:rsidR="002B6C4F" w:rsidRPr="00B4226E">
              <w:t>desirability of cooperating with governments, regulators and others outside the isla</w:t>
            </w:r>
            <w:r w:rsidR="002B6C4F">
              <w:t>n</w:t>
            </w:r>
            <w:r w:rsidR="002B6C4F" w:rsidRPr="00B4226E">
              <w:t>d</w:t>
            </w:r>
          </w:p>
        </w:tc>
        <w:tc>
          <w:tcPr>
            <w:tcW w:w="3918" w:type="dxa"/>
          </w:tcPr>
          <w:p w14:paraId="7A3C11EB" w14:textId="0F1C4C13" w:rsidR="002B6C4F" w:rsidRDefault="002B6C4F" w:rsidP="005A5D1C">
            <w:pPr>
              <w:jc w:val="both"/>
            </w:pPr>
            <w:r w:rsidRPr="005B47B1">
              <w:rPr>
                <w:b/>
                <w:bCs/>
              </w:rPr>
              <w:t>Positive impact</w:t>
            </w:r>
            <w:r w:rsidR="005B47B1">
              <w:t xml:space="preserve"> – other overseas regulators most relevant to the Island’s banking sector have implemented Basel III </w:t>
            </w:r>
            <w:r w:rsidR="005A5D1C">
              <w:t>NSFR</w:t>
            </w:r>
            <w:r w:rsidR="005B47B1">
              <w:t xml:space="preserve"> </w:t>
            </w:r>
          </w:p>
        </w:tc>
      </w:tr>
      <w:tr w:rsidR="002B6C4F" w14:paraId="5792BD8F" w14:textId="77777777" w:rsidTr="00D12381">
        <w:tc>
          <w:tcPr>
            <w:tcW w:w="5098" w:type="dxa"/>
          </w:tcPr>
          <w:p w14:paraId="250B6734" w14:textId="2AA7BB0F" w:rsidR="002B6C4F" w:rsidRDefault="00A9481B" w:rsidP="005A5D1C">
            <w:pPr>
              <w:jc w:val="both"/>
            </w:pPr>
            <w:r>
              <w:t>T</w:t>
            </w:r>
            <w:r w:rsidRPr="00B4226E">
              <w:t xml:space="preserve">he </w:t>
            </w:r>
            <w:r w:rsidR="002B6C4F" w:rsidRPr="00B4226E">
              <w:t>need to safeguard the reputation of the island</w:t>
            </w:r>
          </w:p>
        </w:tc>
        <w:tc>
          <w:tcPr>
            <w:tcW w:w="3918" w:type="dxa"/>
          </w:tcPr>
          <w:p w14:paraId="4182F235" w14:textId="21D5360D" w:rsidR="002B6C4F" w:rsidRDefault="002B6C4F" w:rsidP="005A5D1C">
            <w:pPr>
              <w:jc w:val="both"/>
            </w:pPr>
            <w:r w:rsidRPr="005B47B1">
              <w:rPr>
                <w:b/>
                <w:bCs/>
              </w:rPr>
              <w:t>Positive impact</w:t>
            </w:r>
            <w:r>
              <w:t xml:space="preserve"> – Basel III and </w:t>
            </w:r>
            <w:r w:rsidR="005A5D1C">
              <w:t>NSFR</w:t>
            </w:r>
            <w:r>
              <w:t xml:space="preserve"> is a recognised</w:t>
            </w:r>
            <w:r w:rsidR="00A35F1B">
              <w:t xml:space="preserve"> international</w:t>
            </w:r>
            <w:r>
              <w:t xml:space="preserve"> standar</w:t>
            </w:r>
            <w:r w:rsidR="005B47B1">
              <w:t>d</w:t>
            </w:r>
          </w:p>
        </w:tc>
      </w:tr>
      <w:tr w:rsidR="002B6C4F" w14:paraId="793CC11B" w14:textId="77777777" w:rsidTr="00D12381">
        <w:tc>
          <w:tcPr>
            <w:tcW w:w="5098" w:type="dxa"/>
          </w:tcPr>
          <w:p w14:paraId="78AAAE45" w14:textId="7FC00955" w:rsidR="002B6C4F" w:rsidRDefault="00A9481B" w:rsidP="005A5D1C">
            <w:pPr>
              <w:jc w:val="both"/>
            </w:pPr>
            <w:r>
              <w:t>T</w:t>
            </w:r>
            <w:r w:rsidRPr="00B4226E">
              <w:t xml:space="preserve">he </w:t>
            </w:r>
            <w:r w:rsidR="002B6C4F" w:rsidRPr="00B4226E">
              <w:t>international character of the financial services, insurance and pensions industries and their markets and the desirability of maintaining the competitive position of the Island</w:t>
            </w:r>
          </w:p>
        </w:tc>
        <w:tc>
          <w:tcPr>
            <w:tcW w:w="3918" w:type="dxa"/>
          </w:tcPr>
          <w:p w14:paraId="46EC7B23" w14:textId="5E667655" w:rsidR="002B6C4F" w:rsidRDefault="005B47B1" w:rsidP="005A5D1C">
            <w:pPr>
              <w:jc w:val="both"/>
            </w:pPr>
            <w:r w:rsidRPr="005B47B1">
              <w:rPr>
                <w:b/>
                <w:bCs/>
              </w:rPr>
              <w:t>Neutral</w:t>
            </w:r>
            <w:r w:rsidR="002B6C4F" w:rsidRPr="005B47B1">
              <w:rPr>
                <w:b/>
                <w:bCs/>
              </w:rPr>
              <w:t xml:space="preserve"> impact</w:t>
            </w:r>
            <w:r>
              <w:t xml:space="preserve"> – there may be some costs of implementation and compliance, balanced by having a better recognised liquidity regime</w:t>
            </w:r>
          </w:p>
        </w:tc>
      </w:tr>
      <w:tr w:rsidR="002B6C4F" w14:paraId="1B569884" w14:textId="77777777" w:rsidTr="00D12381">
        <w:tc>
          <w:tcPr>
            <w:tcW w:w="5098" w:type="dxa"/>
          </w:tcPr>
          <w:p w14:paraId="36AB1FF0" w14:textId="05330EBF" w:rsidR="002B6C4F" w:rsidRDefault="00A9481B" w:rsidP="005A5D1C">
            <w:pPr>
              <w:jc w:val="both"/>
            </w:pPr>
            <w:r>
              <w:lastRenderedPageBreak/>
              <w:t>T</w:t>
            </w:r>
            <w:r w:rsidRPr="00B4226E">
              <w:t xml:space="preserve">he </w:t>
            </w:r>
            <w:r w:rsidR="002B6C4F" w:rsidRPr="00B4226E">
              <w:t>desirability of facilitating the development of the financial services, insurance and pensions industries</w:t>
            </w:r>
          </w:p>
        </w:tc>
        <w:tc>
          <w:tcPr>
            <w:tcW w:w="3918" w:type="dxa"/>
          </w:tcPr>
          <w:p w14:paraId="5DF501E5" w14:textId="568C622D" w:rsidR="002B6C4F" w:rsidRDefault="002B6C4F" w:rsidP="005A5D1C">
            <w:pPr>
              <w:jc w:val="both"/>
            </w:pPr>
            <w:r w:rsidRPr="005B47B1">
              <w:rPr>
                <w:b/>
                <w:bCs/>
              </w:rPr>
              <w:t>Neutral impact</w:t>
            </w:r>
            <w:r w:rsidR="005B47B1">
              <w:t xml:space="preserve"> – will bring the framework up to date</w:t>
            </w:r>
          </w:p>
        </w:tc>
      </w:tr>
      <w:tr w:rsidR="002B6C4F" w14:paraId="6DAF43D3" w14:textId="77777777" w:rsidTr="00D12381">
        <w:tc>
          <w:tcPr>
            <w:tcW w:w="5098" w:type="dxa"/>
          </w:tcPr>
          <w:p w14:paraId="4D51105D" w14:textId="12C97B73" w:rsidR="002B6C4F" w:rsidRDefault="00A9481B" w:rsidP="005A5D1C">
            <w:pPr>
              <w:jc w:val="both"/>
            </w:pPr>
            <w:r>
              <w:t>T</w:t>
            </w:r>
            <w:r w:rsidRPr="00B4226E">
              <w:t xml:space="preserve">he </w:t>
            </w:r>
            <w:r w:rsidR="002B6C4F" w:rsidRPr="00B4226E">
              <w:t>impact of its decision on the stability of the financial system of the Island</w:t>
            </w:r>
          </w:p>
        </w:tc>
        <w:tc>
          <w:tcPr>
            <w:tcW w:w="3918" w:type="dxa"/>
          </w:tcPr>
          <w:p w14:paraId="39EDAA69" w14:textId="3EBE715C" w:rsidR="002B6C4F" w:rsidRDefault="002B6C4F" w:rsidP="005A5D1C">
            <w:pPr>
              <w:jc w:val="both"/>
            </w:pPr>
            <w:r w:rsidRPr="005B47B1">
              <w:rPr>
                <w:b/>
                <w:bCs/>
              </w:rPr>
              <w:t>Positive impact</w:t>
            </w:r>
            <w:r w:rsidR="005B47B1">
              <w:t xml:space="preserve"> – Basel III and </w:t>
            </w:r>
            <w:r w:rsidR="005A5D1C">
              <w:t>NSFR</w:t>
            </w:r>
            <w:r w:rsidR="005B47B1">
              <w:t xml:space="preserve"> is a recognised </w:t>
            </w:r>
            <w:r w:rsidR="00A35F1B">
              <w:t xml:space="preserve">international </w:t>
            </w:r>
            <w:r w:rsidR="005B47B1">
              <w:t>standard</w:t>
            </w:r>
          </w:p>
        </w:tc>
      </w:tr>
    </w:tbl>
    <w:p w14:paraId="0FBBAFD9" w14:textId="77777777" w:rsidR="00E74B73" w:rsidRDefault="00E74B73" w:rsidP="002B6C4F">
      <w:pPr>
        <w:pStyle w:val="FSADocumentText"/>
        <w:spacing w:line="276" w:lineRule="auto"/>
      </w:pPr>
    </w:p>
    <w:p w14:paraId="7BC59C38" w14:textId="1551D9C4" w:rsidR="00E74B73" w:rsidRDefault="00E74B73" w:rsidP="00C72B56">
      <w:pPr>
        <w:pStyle w:val="Heading1"/>
        <w:spacing w:after="240"/>
      </w:pPr>
      <w:bookmarkStart w:id="37" w:name="_Toc201927353"/>
      <w:r>
        <w:t>Questions</w:t>
      </w:r>
      <w:bookmarkEnd w:id="37"/>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E8656E" w:rsidRPr="00031DE2" w14:paraId="0A3AF871" w14:textId="77777777" w:rsidTr="004A052B">
        <w:tc>
          <w:tcPr>
            <w:tcW w:w="5000" w:type="pct"/>
            <w:shd w:val="clear" w:color="auto" w:fill="005782"/>
          </w:tcPr>
          <w:p w14:paraId="55C1E354" w14:textId="6A6CD502" w:rsidR="00E8656E" w:rsidRPr="00031DE2" w:rsidRDefault="00E8656E" w:rsidP="005B47B1">
            <w:pPr>
              <w:rPr>
                <w:color w:val="FFFFFF" w:themeColor="background1"/>
              </w:rPr>
            </w:pPr>
            <w:bookmarkStart w:id="38" w:name="_Toc197610808"/>
            <w:bookmarkStart w:id="39" w:name="_Toc197610869"/>
            <w:bookmarkStart w:id="40" w:name="_Toc197610810"/>
            <w:bookmarkStart w:id="41" w:name="_Toc197610871"/>
            <w:bookmarkStart w:id="42" w:name="_Toc197610812"/>
            <w:bookmarkStart w:id="43" w:name="_Toc197610873"/>
            <w:bookmarkStart w:id="44" w:name="_Toc197610813"/>
            <w:bookmarkStart w:id="45" w:name="_Toc197610874"/>
            <w:bookmarkStart w:id="46" w:name="_Toc197610815"/>
            <w:bookmarkStart w:id="47" w:name="_Toc197610876"/>
            <w:bookmarkStart w:id="48" w:name="_Toc197610816"/>
            <w:bookmarkStart w:id="49" w:name="_Toc197610877"/>
            <w:bookmarkStart w:id="50" w:name="_Toc197610818"/>
            <w:bookmarkStart w:id="51" w:name="_Toc197610879"/>
            <w:bookmarkStart w:id="52" w:name="_Toc197610820"/>
            <w:bookmarkStart w:id="53" w:name="_Toc197610881"/>
            <w:bookmarkStart w:id="54" w:name="_Toc197610821"/>
            <w:bookmarkStart w:id="55" w:name="_Toc197610882"/>
            <w:bookmarkStart w:id="56" w:name="_Toc197610823"/>
            <w:bookmarkStart w:id="57" w:name="_Toc197610884"/>
            <w:bookmarkStart w:id="58" w:name="_Toc197610824"/>
            <w:bookmarkStart w:id="59" w:name="_Toc197610885"/>
            <w:bookmarkStart w:id="60" w:name="_Toc197610826"/>
            <w:bookmarkStart w:id="61" w:name="_Toc197610887"/>
            <w:bookmarkStart w:id="62" w:name="_Toc197610833"/>
            <w:bookmarkStart w:id="63" w:name="_Toc19761089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031DE2">
              <w:rPr>
                <w:color w:val="FFFFFF" w:themeColor="background1"/>
              </w:rPr>
              <w:t xml:space="preserve">Question </w:t>
            </w:r>
            <w:r w:rsidR="0074530A">
              <w:rPr>
                <w:color w:val="FFFFFF" w:themeColor="background1"/>
              </w:rPr>
              <w:t>1</w:t>
            </w:r>
          </w:p>
        </w:tc>
      </w:tr>
      <w:tr w:rsidR="001844C7" w:rsidRPr="00D726E3" w14:paraId="757DB164" w14:textId="77777777" w:rsidTr="00D726E3">
        <w:tc>
          <w:tcPr>
            <w:tcW w:w="5000" w:type="pct"/>
            <w:shd w:val="clear" w:color="auto" w:fill="CAD8D7"/>
          </w:tcPr>
          <w:p w14:paraId="1359C23F" w14:textId="30AF39E6" w:rsidR="001844C7" w:rsidRPr="00D726E3" w:rsidRDefault="006D39FE" w:rsidP="005B47B1">
            <w:pPr>
              <w:jc w:val="both"/>
            </w:pPr>
            <w:r w:rsidRPr="006D39FE">
              <w:rPr>
                <w:rFonts w:ascii="Calibri" w:hAnsi="Calibri" w:cs="Calibri"/>
                <w:szCs w:val="24"/>
              </w:rPr>
              <w:t>Do you agree with the proposed core regulatory requirements</w:t>
            </w:r>
            <w:r w:rsidR="00093B9B">
              <w:rPr>
                <w:rFonts w:ascii="Calibri" w:hAnsi="Calibri" w:cs="Calibri"/>
                <w:szCs w:val="24"/>
              </w:rPr>
              <w:t xml:space="preserve"> (set out in </w:t>
            </w:r>
            <w:hyperlink w:anchor="_Proposed_core_regulatory" w:history="1">
              <w:r w:rsidR="00093B9B" w:rsidRPr="00A9481B">
                <w:rPr>
                  <w:rStyle w:val="Hyperlink"/>
                  <w:rFonts w:ascii="Calibri" w:hAnsi="Calibri" w:cs="Calibri"/>
                  <w:szCs w:val="24"/>
                </w:rPr>
                <w:t>section 3.2</w:t>
              </w:r>
            </w:hyperlink>
            <w:r w:rsidR="00093B9B">
              <w:rPr>
                <w:rFonts w:ascii="Calibri" w:hAnsi="Calibri" w:cs="Calibri"/>
                <w:szCs w:val="24"/>
              </w:rPr>
              <w:t>)</w:t>
            </w:r>
            <w:r w:rsidRPr="006D39FE">
              <w:rPr>
                <w:rFonts w:ascii="Calibri" w:hAnsi="Calibri" w:cs="Calibri"/>
                <w:szCs w:val="24"/>
              </w:rPr>
              <w:t xml:space="preserve"> in respect of the </w:t>
            </w:r>
            <w:r w:rsidR="00CC0A2F">
              <w:rPr>
                <w:rFonts w:ascii="Calibri" w:hAnsi="Calibri" w:cs="Calibri"/>
                <w:szCs w:val="24"/>
              </w:rPr>
              <w:t>NSFR</w:t>
            </w:r>
            <w:r w:rsidRPr="006D39FE">
              <w:rPr>
                <w:rFonts w:ascii="Calibri" w:hAnsi="Calibri" w:cs="Calibri"/>
                <w:szCs w:val="24"/>
              </w:rPr>
              <w:t>?</w:t>
            </w:r>
            <w:r w:rsidR="007117E7">
              <w:rPr>
                <w:rFonts w:ascii="Calibri" w:hAnsi="Calibri" w:cs="Calibri"/>
                <w:szCs w:val="24"/>
              </w:rPr>
              <w:t xml:space="preserve"> </w:t>
            </w:r>
            <w:r w:rsidRPr="006D39FE">
              <w:rPr>
                <w:rFonts w:ascii="Calibri" w:hAnsi="Calibri" w:cs="Calibri"/>
                <w:szCs w:val="24"/>
              </w:rPr>
              <w:t>If not, please provide additional information</w:t>
            </w:r>
            <w:r w:rsidRPr="006D39FE">
              <w:rPr>
                <w:rFonts w:ascii="Calibri" w:hAnsi="Calibri" w:cs="Calibri"/>
                <w:i/>
                <w:iCs/>
                <w:szCs w:val="24"/>
              </w:rPr>
              <w:t>.</w:t>
            </w:r>
          </w:p>
        </w:tc>
      </w:tr>
    </w:tbl>
    <w:p w14:paraId="5C529338" w14:textId="77777777" w:rsidR="00E8656E" w:rsidRDefault="00E8656E" w:rsidP="00093B9B">
      <w:pPr>
        <w:spacing w:after="0"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073A44" w:rsidRPr="00031DE2" w14:paraId="7A33A469" w14:textId="77777777" w:rsidTr="004A052B">
        <w:tc>
          <w:tcPr>
            <w:tcW w:w="5000" w:type="pct"/>
            <w:shd w:val="clear" w:color="auto" w:fill="005782"/>
          </w:tcPr>
          <w:p w14:paraId="2D964DCE" w14:textId="718EEA20" w:rsidR="00073A44" w:rsidRPr="00031DE2" w:rsidRDefault="0074530A" w:rsidP="005B47B1">
            <w:pPr>
              <w:rPr>
                <w:color w:val="FFFFFF" w:themeColor="background1"/>
              </w:rPr>
            </w:pPr>
            <w:r w:rsidRPr="00031DE2">
              <w:rPr>
                <w:color w:val="FFFFFF" w:themeColor="background1"/>
              </w:rPr>
              <w:t xml:space="preserve">Question </w:t>
            </w:r>
            <w:r w:rsidR="00AF368B">
              <w:rPr>
                <w:color w:val="FFFFFF" w:themeColor="background1"/>
              </w:rPr>
              <w:t>2</w:t>
            </w:r>
          </w:p>
        </w:tc>
      </w:tr>
      <w:tr w:rsidR="00073A44" w:rsidRPr="00D726E3" w14:paraId="24FB9023" w14:textId="77777777" w:rsidTr="00D726E3">
        <w:tc>
          <w:tcPr>
            <w:tcW w:w="5000" w:type="pct"/>
            <w:shd w:val="clear" w:color="auto" w:fill="CAD8D7"/>
          </w:tcPr>
          <w:p w14:paraId="2A374269" w14:textId="1B188F1D" w:rsidR="00073A44" w:rsidRPr="00093B9B" w:rsidRDefault="000E2EC3" w:rsidP="005B47B1">
            <w:pPr>
              <w:jc w:val="both"/>
            </w:pPr>
            <w:r w:rsidRPr="00093B9B">
              <w:rPr>
                <w:rFonts w:ascii="Calibri" w:hAnsi="Calibri" w:cs="Calibri"/>
                <w:szCs w:val="24"/>
              </w:rPr>
              <w:t>Do you have any other observations to make in relation to the proposals</w:t>
            </w:r>
            <w:r w:rsidR="00093B9B" w:rsidRPr="00093B9B">
              <w:rPr>
                <w:rFonts w:ascii="Calibri" w:hAnsi="Calibri" w:cs="Calibri"/>
                <w:szCs w:val="24"/>
              </w:rPr>
              <w:t xml:space="preserve"> set out in</w:t>
            </w:r>
            <w:r w:rsidR="002429E3">
              <w:rPr>
                <w:rFonts w:ascii="Calibri" w:hAnsi="Calibri" w:cs="Calibri"/>
                <w:szCs w:val="24"/>
              </w:rPr>
              <w:t xml:space="preserve"> </w:t>
            </w:r>
            <w:hyperlink w:anchor="_Proposed_core_regulatory" w:history="1">
              <w:r w:rsidR="002429E3" w:rsidRPr="00A9481B">
                <w:rPr>
                  <w:rStyle w:val="Hyperlink"/>
                  <w:rFonts w:ascii="Calibri" w:hAnsi="Calibri" w:cs="Calibri"/>
                  <w:szCs w:val="24"/>
                </w:rPr>
                <w:t>section 3.2</w:t>
              </w:r>
            </w:hyperlink>
            <w:r w:rsidRPr="00093B9B">
              <w:rPr>
                <w:rFonts w:ascii="Calibri" w:hAnsi="Calibri" w:cs="Calibri"/>
                <w:szCs w:val="24"/>
              </w:rPr>
              <w:t>?</w:t>
            </w:r>
            <w:r w:rsidR="00093B9B">
              <w:rPr>
                <w:rFonts w:ascii="Calibri" w:hAnsi="Calibri" w:cs="Calibri"/>
                <w:szCs w:val="24"/>
              </w:rPr>
              <w:t xml:space="preserve"> </w:t>
            </w:r>
          </w:p>
        </w:tc>
      </w:tr>
    </w:tbl>
    <w:p w14:paraId="3364EE2C" w14:textId="77777777" w:rsidR="00073A44" w:rsidRDefault="00073A44" w:rsidP="00093B9B">
      <w:pPr>
        <w:pStyle w:val="FSADocumentText"/>
        <w:spacing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073A44" w:rsidRPr="00031DE2" w14:paraId="4176582A" w14:textId="77777777" w:rsidTr="004A052B">
        <w:tc>
          <w:tcPr>
            <w:tcW w:w="5000" w:type="pct"/>
            <w:shd w:val="clear" w:color="auto" w:fill="005782"/>
          </w:tcPr>
          <w:p w14:paraId="4211D71D" w14:textId="34CA0BA7" w:rsidR="00073A44" w:rsidRPr="008A050A" w:rsidRDefault="0074530A" w:rsidP="005B47B1">
            <w:pPr>
              <w:rPr>
                <w:color w:val="FFFFFF" w:themeColor="background1"/>
              </w:rPr>
            </w:pPr>
            <w:r w:rsidRPr="008A050A">
              <w:rPr>
                <w:color w:val="FFFFFF" w:themeColor="background1"/>
              </w:rPr>
              <w:t xml:space="preserve">Question </w:t>
            </w:r>
            <w:r w:rsidR="00D60BFA" w:rsidRPr="008A050A">
              <w:rPr>
                <w:color w:val="FFFFFF" w:themeColor="background1"/>
              </w:rPr>
              <w:t>3</w:t>
            </w:r>
          </w:p>
        </w:tc>
      </w:tr>
      <w:tr w:rsidR="00073A44" w:rsidRPr="00D726E3" w14:paraId="3512BD81" w14:textId="77777777" w:rsidTr="00D726E3">
        <w:tc>
          <w:tcPr>
            <w:tcW w:w="5000" w:type="pct"/>
            <w:shd w:val="clear" w:color="auto" w:fill="CAD8D7"/>
          </w:tcPr>
          <w:p w14:paraId="74211AEC" w14:textId="291E8721" w:rsidR="00073A44" w:rsidRPr="008A050A" w:rsidRDefault="000E2EC3" w:rsidP="005B47B1">
            <w:pPr>
              <w:jc w:val="both"/>
            </w:pPr>
            <w:r w:rsidRPr="008A050A">
              <w:rPr>
                <w:rFonts w:ascii="Calibri" w:hAnsi="Calibri" w:cs="Calibri"/>
                <w:szCs w:val="24"/>
              </w:rPr>
              <w:t xml:space="preserve">Do you have any comments / observations in relation to the proposed </w:t>
            </w:r>
            <w:r w:rsidR="00CC0A2F">
              <w:rPr>
                <w:rFonts w:ascii="Calibri" w:hAnsi="Calibri" w:cs="Calibri"/>
                <w:szCs w:val="24"/>
              </w:rPr>
              <w:t>NSFR</w:t>
            </w:r>
            <w:r w:rsidRPr="008A050A">
              <w:rPr>
                <w:rFonts w:ascii="Calibri" w:hAnsi="Calibri" w:cs="Calibri"/>
                <w:szCs w:val="24"/>
              </w:rPr>
              <w:t xml:space="preserve"> Reporting Form and guidance</w:t>
            </w:r>
            <w:r w:rsidR="00093B9B" w:rsidRPr="008A050A">
              <w:rPr>
                <w:rFonts w:ascii="Calibri" w:hAnsi="Calibri" w:cs="Calibri"/>
                <w:szCs w:val="24"/>
              </w:rPr>
              <w:t xml:space="preserve"> as set out in </w:t>
            </w:r>
            <w:hyperlink w:anchor="_Proposed_Reporting_Forms" w:history="1">
              <w:r w:rsidR="00093B9B" w:rsidRPr="00A9481B">
                <w:rPr>
                  <w:rStyle w:val="Hyperlink"/>
                  <w:rFonts w:ascii="Calibri" w:hAnsi="Calibri" w:cs="Calibri"/>
                  <w:szCs w:val="24"/>
                </w:rPr>
                <w:t>section 3.3</w:t>
              </w:r>
            </w:hyperlink>
            <w:r w:rsidR="00093B9B" w:rsidRPr="008A050A">
              <w:rPr>
                <w:rFonts w:ascii="Calibri" w:hAnsi="Calibri" w:cs="Calibri"/>
                <w:szCs w:val="24"/>
              </w:rPr>
              <w:t xml:space="preserve"> and </w:t>
            </w:r>
            <w:hyperlink w:anchor="_Draft_LCR_Reporting" w:history="1">
              <w:r w:rsidR="00093B9B" w:rsidRPr="00A9481B">
                <w:rPr>
                  <w:rStyle w:val="Hyperlink"/>
                  <w:rFonts w:ascii="Calibri" w:hAnsi="Calibri" w:cs="Calibri"/>
                  <w:szCs w:val="24"/>
                </w:rPr>
                <w:t>Appendix B(1)</w:t>
              </w:r>
            </w:hyperlink>
            <w:r w:rsidR="00093B9B" w:rsidRPr="008A050A">
              <w:rPr>
                <w:rFonts w:ascii="Calibri" w:hAnsi="Calibri" w:cs="Calibri"/>
                <w:szCs w:val="24"/>
              </w:rPr>
              <w:t xml:space="preserve"> and </w:t>
            </w:r>
            <w:hyperlink w:anchor="_Draft_Guidance" w:history="1">
              <w:r w:rsidR="00A9481B" w:rsidRPr="00A9481B">
                <w:rPr>
                  <w:rStyle w:val="Hyperlink"/>
                  <w:rFonts w:ascii="Calibri" w:hAnsi="Calibri" w:cs="Calibri"/>
                  <w:szCs w:val="24"/>
                </w:rPr>
                <w:t xml:space="preserve">Appendix </w:t>
              </w:r>
              <w:r w:rsidR="00093B9B" w:rsidRPr="00A9481B">
                <w:rPr>
                  <w:rStyle w:val="Hyperlink"/>
                  <w:rFonts w:ascii="Calibri" w:hAnsi="Calibri" w:cs="Calibri"/>
                  <w:szCs w:val="24"/>
                </w:rPr>
                <w:t>B(2)</w:t>
              </w:r>
            </w:hyperlink>
            <w:r w:rsidR="00551D9E">
              <w:t xml:space="preserve"> (including in respect of national discretions)</w:t>
            </w:r>
            <w:r w:rsidRPr="008A050A">
              <w:rPr>
                <w:rFonts w:ascii="Calibri" w:hAnsi="Calibri" w:cs="Calibri"/>
                <w:szCs w:val="24"/>
              </w:rPr>
              <w:t>?</w:t>
            </w:r>
            <w:r w:rsidR="007117E7" w:rsidRPr="008A050A">
              <w:rPr>
                <w:rFonts w:ascii="Calibri" w:hAnsi="Calibri" w:cs="Calibri"/>
                <w:szCs w:val="24"/>
              </w:rPr>
              <w:t xml:space="preserve"> </w:t>
            </w:r>
            <w:r w:rsidRPr="008A050A">
              <w:rPr>
                <w:rFonts w:ascii="Calibri" w:hAnsi="Calibri" w:cs="Calibri"/>
                <w:szCs w:val="24"/>
              </w:rPr>
              <w:t>If so, please provide further information, including identification of any errors.</w:t>
            </w:r>
          </w:p>
        </w:tc>
      </w:tr>
    </w:tbl>
    <w:p w14:paraId="252FEB65" w14:textId="77777777" w:rsidR="00206C5B" w:rsidRDefault="00206C5B" w:rsidP="00093B9B">
      <w:pPr>
        <w:spacing w:after="0"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AF368B" w:rsidRPr="00031DE2" w14:paraId="13E256DB" w14:textId="77777777" w:rsidTr="00D919F5">
        <w:tc>
          <w:tcPr>
            <w:tcW w:w="5000" w:type="pct"/>
            <w:shd w:val="clear" w:color="auto" w:fill="005782"/>
          </w:tcPr>
          <w:p w14:paraId="32E8466B" w14:textId="462DE1E8" w:rsidR="00AF368B" w:rsidRPr="00031DE2" w:rsidRDefault="00AF368B" w:rsidP="005B47B1">
            <w:pPr>
              <w:rPr>
                <w:color w:val="FFFFFF" w:themeColor="background1"/>
              </w:rPr>
            </w:pPr>
            <w:r w:rsidRPr="00031DE2">
              <w:rPr>
                <w:color w:val="FFFFFF" w:themeColor="background1"/>
              </w:rPr>
              <w:t xml:space="preserve">Question </w:t>
            </w:r>
            <w:r w:rsidR="00D60BFA">
              <w:rPr>
                <w:color w:val="FFFFFF" w:themeColor="background1"/>
              </w:rPr>
              <w:t>4</w:t>
            </w:r>
          </w:p>
        </w:tc>
      </w:tr>
      <w:tr w:rsidR="00AF368B" w:rsidRPr="00D726E3" w14:paraId="207434CF" w14:textId="77777777" w:rsidTr="00D919F5">
        <w:tc>
          <w:tcPr>
            <w:tcW w:w="5000" w:type="pct"/>
            <w:shd w:val="clear" w:color="auto" w:fill="CAD8D7"/>
          </w:tcPr>
          <w:p w14:paraId="6D2ADD2F" w14:textId="61A1D8E9" w:rsidR="00AF368B" w:rsidRPr="00093B9B" w:rsidRDefault="00CC0A2F" w:rsidP="005B47B1">
            <w:pPr>
              <w:jc w:val="both"/>
            </w:pPr>
            <w:r w:rsidRPr="00093B9B">
              <w:rPr>
                <w:rFonts w:ascii="Calibri" w:hAnsi="Calibri" w:cs="Calibri"/>
                <w:szCs w:val="24"/>
              </w:rPr>
              <w:t xml:space="preserve">Do you agree with the proposal to implement quarterly reporting as standard (with submissions due within one month), </w:t>
            </w:r>
            <w:r>
              <w:rPr>
                <w:rFonts w:ascii="Calibri" w:hAnsi="Calibri" w:cs="Calibri"/>
                <w:szCs w:val="24"/>
              </w:rPr>
              <w:t>consistent with the Basel Committee NSFR Standard?</w:t>
            </w:r>
          </w:p>
        </w:tc>
      </w:tr>
    </w:tbl>
    <w:p w14:paraId="74ABCC7A" w14:textId="77777777" w:rsidR="00AF368B" w:rsidRDefault="00AF368B" w:rsidP="00093B9B">
      <w:pPr>
        <w:spacing w:after="0"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AF368B" w:rsidRPr="00031DE2" w14:paraId="28B583B3" w14:textId="77777777" w:rsidTr="00D919F5">
        <w:tc>
          <w:tcPr>
            <w:tcW w:w="5000" w:type="pct"/>
            <w:shd w:val="clear" w:color="auto" w:fill="005782"/>
          </w:tcPr>
          <w:p w14:paraId="1B97C6E2" w14:textId="69404BC2" w:rsidR="00AF368B" w:rsidRPr="00031DE2" w:rsidRDefault="00AF368B" w:rsidP="005B47B1">
            <w:pPr>
              <w:rPr>
                <w:color w:val="FFFFFF" w:themeColor="background1"/>
              </w:rPr>
            </w:pPr>
            <w:r w:rsidRPr="00031DE2">
              <w:rPr>
                <w:color w:val="FFFFFF" w:themeColor="background1"/>
              </w:rPr>
              <w:t xml:space="preserve">Question </w:t>
            </w:r>
            <w:r w:rsidR="00D60BFA">
              <w:rPr>
                <w:color w:val="FFFFFF" w:themeColor="background1"/>
              </w:rPr>
              <w:t>5</w:t>
            </w:r>
          </w:p>
        </w:tc>
      </w:tr>
      <w:tr w:rsidR="00AF368B" w:rsidRPr="00D726E3" w14:paraId="1012BC11" w14:textId="77777777" w:rsidTr="00D919F5">
        <w:tc>
          <w:tcPr>
            <w:tcW w:w="5000" w:type="pct"/>
            <w:shd w:val="clear" w:color="auto" w:fill="CAD8D7"/>
          </w:tcPr>
          <w:p w14:paraId="568A3B53" w14:textId="5C3A4205" w:rsidR="00AF368B" w:rsidRPr="00093B9B" w:rsidRDefault="00CC0A2F" w:rsidP="005B47B1">
            <w:pPr>
              <w:jc w:val="both"/>
            </w:pPr>
            <w:r w:rsidRPr="005A5D1C">
              <w:rPr>
                <w:rFonts w:ascii="Calibri" w:hAnsi="Calibri" w:cs="Calibri"/>
                <w:szCs w:val="24"/>
              </w:rPr>
              <w:t>Would you be able to increase the frequency of reporting, for example to monthly, or even weekly if required to do so by the Authority (on an exceptional basis)?</w:t>
            </w:r>
          </w:p>
        </w:tc>
      </w:tr>
    </w:tbl>
    <w:p w14:paraId="46EBA023" w14:textId="77777777" w:rsidR="00D60BFA" w:rsidRDefault="00D60BFA" w:rsidP="00093B9B">
      <w:pPr>
        <w:spacing w:after="0"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D60BFA" w:rsidRPr="00031DE2" w14:paraId="31907B0E" w14:textId="77777777" w:rsidTr="00D919F5">
        <w:tc>
          <w:tcPr>
            <w:tcW w:w="5000" w:type="pct"/>
            <w:shd w:val="clear" w:color="auto" w:fill="005782"/>
          </w:tcPr>
          <w:p w14:paraId="31F57B85" w14:textId="5D68623E" w:rsidR="00D60BFA" w:rsidRPr="00031DE2" w:rsidRDefault="00D60BFA" w:rsidP="005B47B1">
            <w:pPr>
              <w:rPr>
                <w:color w:val="FFFFFF" w:themeColor="background1"/>
              </w:rPr>
            </w:pPr>
            <w:r w:rsidRPr="00031DE2">
              <w:rPr>
                <w:color w:val="FFFFFF" w:themeColor="background1"/>
              </w:rPr>
              <w:t xml:space="preserve">Question </w:t>
            </w:r>
            <w:r w:rsidR="00CC0A2F">
              <w:rPr>
                <w:color w:val="FFFFFF" w:themeColor="background1"/>
              </w:rPr>
              <w:t>6</w:t>
            </w:r>
          </w:p>
        </w:tc>
      </w:tr>
      <w:tr w:rsidR="00D60BFA" w:rsidRPr="00D726E3" w14:paraId="7D602597" w14:textId="77777777" w:rsidTr="00D919F5">
        <w:tc>
          <w:tcPr>
            <w:tcW w:w="5000" w:type="pct"/>
            <w:shd w:val="clear" w:color="auto" w:fill="CAD8D7"/>
          </w:tcPr>
          <w:p w14:paraId="2CE47819" w14:textId="77777777" w:rsidR="006C038E" w:rsidRDefault="006C038E" w:rsidP="006C038E">
            <w:pPr>
              <w:jc w:val="both"/>
              <w:rPr>
                <w:rFonts w:ascii="Calibri" w:hAnsi="Calibri" w:cs="Calibri"/>
                <w:szCs w:val="24"/>
              </w:rPr>
            </w:pPr>
            <w:r w:rsidRPr="00DB4AE5">
              <w:rPr>
                <w:rFonts w:ascii="Calibri" w:hAnsi="Calibri" w:cs="Calibri"/>
                <w:szCs w:val="24"/>
              </w:rPr>
              <w:t xml:space="preserve">Do you agree with the proposal to start reporting </w:t>
            </w:r>
            <w:r>
              <w:rPr>
                <w:rFonts w:ascii="Calibri" w:hAnsi="Calibri" w:cs="Calibri"/>
                <w:szCs w:val="24"/>
              </w:rPr>
              <w:t>NSFR</w:t>
            </w:r>
            <w:r w:rsidRPr="00DB4AE5">
              <w:rPr>
                <w:rFonts w:ascii="Calibri" w:hAnsi="Calibri" w:cs="Calibri"/>
                <w:szCs w:val="24"/>
              </w:rPr>
              <w:t xml:space="preserve"> information to the Authority </w:t>
            </w:r>
            <w:r>
              <w:rPr>
                <w:rFonts w:ascii="Calibri" w:hAnsi="Calibri" w:cs="Calibri"/>
                <w:szCs w:val="24"/>
              </w:rPr>
              <w:t>in alignment with the LCR (expected Q1 or Q2 2026)?</w:t>
            </w:r>
          </w:p>
          <w:p w14:paraId="53E0278E" w14:textId="77777777" w:rsidR="006C038E" w:rsidRDefault="006C038E" w:rsidP="006C038E">
            <w:pPr>
              <w:jc w:val="both"/>
              <w:rPr>
                <w:rFonts w:ascii="Calibri" w:hAnsi="Calibri" w:cs="Calibri"/>
                <w:szCs w:val="24"/>
              </w:rPr>
            </w:pPr>
          </w:p>
          <w:p w14:paraId="0ECD847B" w14:textId="595A6693" w:rsidR="00D60BFA" w:rsidRPr="00DB4AE5" w:rsidRDefault="006C038E" w:rsidP="006C038E">
            <w:pPr>
              <w:jc w:val="both"/>
            </w:pPr>
            <w:r w:rsidRPr="00DB4AE5">
              <w:rPr>
                <w:rFonts w:ascii="Calibri" w:hAnsi="Calibri" w:cs="Calibri"/>
                <w:szCs w:val="24"/>
              </w:rPr>
              <w:t>If this proposed date</w:t>
            </w:r>
            <w:r>
              <w:rPr>
                <w:rFonts w:ascii="Calibri" w:hAnsi="Calibri" w:cs="Calibri"/>
                <w:szCs w:val="24"/>
              </w:rPr>
              <w:t>(s)</w:t>
            </w:r>
            <w:r w:rsidRPr="00DB4AE5">
              <w:rPr>
                <w:rFonts w:ascii="Calibri" w:hAnsi="Calibri" w:cs="Calibri"/>
                <w:szCs w:val="24"/>
              </w:rPr>
              <w:t xml:space="preserve"> would cause you difficulties, please provide an alternative date for commencing reporting and summarise the reasons why.</w:t>
            </w:r>
          </w:p>
        </w:tc>
      </w:tr>
    </w:tbl>
    <w:p w14:paraId="5BE58FF9" w14:textId="77777777" w:rsidR="00206C5B" w:rsidRDefault="00206C5B" w:rsidP="00D12381">
      <w:pPr>
        <w:spacing w:after="0" w:line="276" w:lineRule="auto"/>
      </w:pPr>
    </w:p>
    <w:tbl>
      <w:tblPr>
        <w:tblStyle w:val="TableGrid"/>
        <w:tblW w:w="5000" w:type="pct"/>
        <w:tblBorders>
          <w:top w:val="single" w:sz="4" w:space="0" w:color="005782"/>
          <w:left w:val="single" w:sz="4" w:space="0" w:color="005782"/>
          <w:bottom w:val="single" w:sz="4" w:space="0" w:color="005782"/>
          <w:right w:val="single" w:sz="4" w:space="0" w:color="005782"/>
          <w:insideH w:val="single" w:sz="4" w:space="0" w:color="005782"/>
          <w:insideV w:val="single" w:sz="4" w:space="0" w:color="005782"/>
        </w:tblBorders>
        <w:tblLook w:val="04A0" w:firstRow="1" w:lastRow="0" w:firstColumn="1" w:lastColumn="0" w:noHBand="0" w:noVBand="1"/>
      </w:tblPr>
      <w:tblGrid>
        <w:gridCol w:w="9016"/>
      </w:tblGrid>
      <w:tr w:rsidR="00AF368B" w:rsidRPr="00031DE2" w14:paraId="5BD13265" w14:textId="77777777" w:rsidTr="00D919F5">
        <w:tc>
          <w:tcPr>
            <w:tcW w:w="5000" w:type="pct"/>
            <w:shd w:val="clear" w:color="auto" w:fill="005782"/>
          </w:tcPr>
          <w:p w14:paraId="4B281598" w14:textId="53BACC49" w:rsidR="00AF368B" w:rsidRPr="00031DE2" w:rsidRDefault="00AF368B" w:rsidP="005B47B1">
            <w:pPr>
              <w:rPr>
                <w:color w:val="FFFFFF" w:themeColor="background1"/>
              </w:rPr>
            </w:pPr>
            <w:r w:rsidRPr="00031DE2">
              <w:rPr>
                <w:color w:val="FFFFFF" w:themeColor="background1"/>
              </w:rPr>
              <w:t xml:space="preserve">Question </w:t>
            </w:r>
            <w:r w:rsidR="00CC0A2F">
              <w:rPr>
                <w:color w:val="FFFFFF" w:themeColor="background1"/>
              </w:rPr>
              <w:t>7</w:t>
            </w:r>
          </w:p>
        </w:tc>
      </w:tr>
      <w:tr w:rsidR="00AF368B" w:rsidRPr="00D726E3" w14:paraId="779B0A80" w14:textId="77777777" w:rsidTr="00D919F5">
        <w:tc>
          <w:tcPr>
            <w:tcW w:w="5000" w:type="pct"/>
            <w:shd w:val="clear" w:color="auto" w:fill="CAD8D7"/>
          </w:tcPr>
          <w:p w14:paraId="03874627" w14:textId="398638A5" w:rsidR="00AF368B" w:rsidRPr="00DB4AE5" w:rsidRDefault="006C038E" w:rsidP="00206C5B">
            <w:pPr>
              <w:jc w:val="both"/>
            </w:pPr>
            <w:r w:rsidRPr="00DB4AE5">
              <w:rPr>
                <w:rFonts w:ascii="Calibri" w:hAnsi="Calibri" w:cs="Calibri"/>
                <w:szCs w:val="24"/>
              </w:rPr>
              <w:t xml:space="preserve">Do you agree with the proposal to introduce the proposed regulatory requirements for </w:t>
            </w:r>
            <w:r>
              <w:rPr>
                <w:rFonts w:ascii="Calibri" w:hAnsi="Calibri" w:cs="Calibri"/>
                <w:szCs w:val="24"/>
              </w:rPr>
              <w:t>NSFR</w:t>
            </w:r>
            <w:r w:rsidRPr="00DB4AE5">
              <w:rPr>
                <w:rFonts w:ascii="Calibri" w:hAnsi="Calibri" w:cs="Calibri"/>
                <w:szCs w:val="24"/>
              </w:rPr>
              <w:t xml:space="preserve"> </w:t>
            </w:r>
            <w:r>
              <w:rPr>
                <w:rFonts w:ascii="Calibri" w:hAnsi="Calibri" w:cs="Calibri"/>
                <w:szCs w:val="24"/>
              </w:rPr>
              <w:t>in 2026 aligned to the final agreed first reporting date</w:t>
            </w:r>
            <w:r w:rsidRPr="00DB4AE5">
              <w:rPr>
                <w:rFonts w:ascii="Calibri" w:hAnsi="Calibri" w:cs="Calibri"/>
                <w:szCs w:val="24"/>
              </w:rPr>
              <w:t>?</w:t>
            </w:r>
            <w:r>
              <w:rPr>
                <w:rFonts w:ascii="Calibri" w:hAnsi="Calibri" w:cs="Calibri"/>
                <w:szCs w:val="24"/>
              </w:rPr>
              <w:t xml:space="preserve"> </w:t>
            </w:r>
            <w:r w:rsidRPr="00DB4AE5">
              <w:rPr>
                <w:rFonts w:ascii="Calibri" w:hAnsi="Calibri" w:cs="Calibri"/>
                <w:szCs w:val="24"/>
              </w:rPr>
              <w:t>If this proposed date would cause you difficulties, please provide an alternative date and summarise the reasons why.</w:t>
            </w:r>
          </w:p>
        </w:tc>
      </w:tr>
    </w:tbl>
    <w:p w14:paraId="339DEB65" w14:textId="77777777" w:rsidR="00AF368B" w:rsidRDefault="00AF368B" w:rsidP="00F314A9">
      <w:pPr>
        <w:spacing w:after="0" w:line="240" w:lineRule="auto"/>
        <w:sectPr w:rsidR="00AF368B" w:rsidSect="00A83B45">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titlePg/>
          <w:docGrid w:linePitch="360"/>
        </w:sectPr>
      </w:pPr>
    </w:p>
    <w:p w14:paraId="27AED3A7" w14:textId="09137F62" w:rsidR="00E8656E" w:rsidRPr="00264346" w:rsidRDefault="00E8656E" w:rsidP="00E8656E">
      <w:pPr>
        <w:pStyle w:val="Heading1"/>
        <w:numPr>
          <w:ilvl w:val="0"/>
          <w:numId w:val="0"/>
        </w:numPr>
      </w:pPr>
      <w:bookmarkStart w:id="64" w:name="_Appendix_A_–"/>
      <w:bookmarkStart w:id="65" w:name="_Toc195623446"/>
      <w:bookmarkStart w:id="66" w:name="_Toc195625157"/>
      <w:bookmarkStart w:id="67" w:name="_Toc201927354"/>
      <w:bookmarkEnd w:id="64"/>
      <w:r>
        <w:lastRenderedPageBreak/>
        <w:t xml:space="preserve">Appendix A – List of </w:t>
      </w:r>
      <w:bookmarkEnd w:id="65"/>
      <w:bookmarkEnd w:id="66"/>
      <w:r w:rsidR="00CA48D0">
        <w:t xml:space="preserve">Specific </w:t>
      </w:r>
      <w:r w:rsidR="008979A7">
        <w:t>Recipients</w:t>
      </w:r>
      <w:bookmarkEnd w:id="67"/>
    </w:p>
    <w:p w14:paraId="78FA6BDB" w14:textId="77777777" w:rsidR="00E8656E" w:rsidRPr="001A1A2B" w:rsidRDefault="00E8656E" w:rsidP="00E8656E">
      <w:pPr>
        <w:pStyle w:val="FSADocumentText"/>
        <w:rPr>
          <w:highlight w:val="yellow"/>
        </w:rPr>
      </w:pPr>
    </w:p>
    <w:p w14:paraId="23AE2F16" w14:textId="77777777" w:rsidR="00926652" w:rsidRPr="00926652" w:rsidRDefault="00926652" w:rsidP="00926652">
      <w:pPr>
        <w:pStyle w:val="ListParagraph"/>
        <w:numPr>
          <w:ilvl w:val="0"/>
          <w:numId w:val="13"/>
        </w:numPr>
        <w:spacing w:after="0" w:line="276" w:lineRule="auto"/>
        <w:jc w:val="both"/>
      </w:pPr>
      <w:r w:rsidRPr="00926652">
        <w:t>Isle of Man Bankers’ Association</w:t>
      </w:r>
    </w:p>
    <w:p w14:paraId="73862BA3" w14:textId="1E0D9B3D" w:rsidR="003E4FF4" w:rsidRPr="00926652" w:rsidRDefault="00926652" w:rsidP="00926652">
      <w:pPr>
        <w:pStyle w:val="ListParagraph"/>
        <w:numPr>
          <w:ilvl w:val="0"/>
          <w:numId w:val="13"/>
        </w:numPr>
        <w:spacing w:after="0" w:line="276" w:lineRule="auto"/>
        <w:jc w:val="both"/>
        <w:sectPr w:rsidR="003E4FF4" w:rsidRPr="00926652" w:rsidSect="00031DE2">
          <w:pgSz w:w="11906" w:h="16838"/>
          <w:pgMar w:top="1440" w:right="1440" w:bottom="1440" w:left="1440" w:header="708" w:footer="708" w:gutter="0"/>
          <w:cols w:space="708"/>
          <w:docGrid w:linePitch="360"/>
        </w:sectPr>
      </w:pPr>
      <w:r w:rsidRPr="00926652">
        <w:t>Individual Class 1(1) and Class 1(2) Deposit Takers (Banks)</w:t>
      </w:r>
      <w:r w:rsidR="00D758C8">
        <w:t>, and Class 1(3)   representative offices</w:t>
      </w:r>
    </w:p>
    <w:p w14:paraId="2D035093" w14:textId="42C8CC86" w:rsidR="00E8656E" w:rsidRPr="00264346" w:rsidRDefault="00E8656E" w:rsidP="00926652">
      <w:pPr>
        <w:pStyle w:val="Heading1"/>
        <w:numPr>
          <w:ilvl w:val="0"/>
          <w:numId w:val="0"/>
        </w:numPr>
        <w:spacing w:after="240"/>
      </w:pPr>
      <w:bookmarkStart w:id="68" w:name="_Appendix_B_–"/>
      <w:bookmarkStart w:id="69" w:name="_Toc195623447"/>
      <w:bookmarkStart w:id="70" w:name="_Toc195625158"/>
      <w:bookmarkStart w:id="71" w:name="_Toc201927355"/>
      <w:bookmarkEnd w:id="68"/>
      <w:r>
        <w:lastRenderedPageBreak/>
        <w:t xml:space="preserve">Appendix B – </w:t>
      </w:r>
      <w:bookmarkEnd w:id="69"/>
      <w:bookmarkEnd w:id="70"/>
      <w:r w:rsidR="00926652">
        <w:t>Draft Reporting Forms and Guidance</w:t>
      </w:r>
      <w:bookmarkEnd w:id="71"/>
    </w:p>
    <w:p w14:paraId="7336F223" w14:textId="300DF7EE" w:rsidR="00E8656E" w:rsidRPr="00926652" w:rsidRDefault="00926652" w:rsidP="00926652">
      <w:pPr>
        <w:pStyle w:val="Heading1"/>
        <w:numPr>
          <w:ilvl w:val="0"/>
          <w:numId w:val="38"/>
        </w:numPr>
      </w:pPr>
      <w:bookmarkStart w:id="72" w:name="_Draft_LCR_Reporting"/>
      <w:bookmarkStart w:id="73" w:name="_Draft_NSFR_Reporting"/>
      <w:bookmarkStart w:id="74" w:name="_Toc201927356"/>
      <w:bookmarkEnd w:id="72"/>
      <w:bookmarkEnd w:id="73"/>
      <w:r w:rsidRPr="00926652">
        <w:t xml:space="preserve">Draft </w:t>
      </w:r>
      <w:r w:rsidR="005A5D1C">
        <w:t>NSFR</w:t>
      </w:r>
      <w:r w:rsidRPr="00926652">
        <w:t xml:space="preserve"> Reporting Form Template</w:t>
      </w:r>
      <w:bookmarkEnd w:id="74"/>
    </w:p>
    <w:p w14:paraId="27193ADD" w14:textId="77777777" w:rsidR="00D35D49" w:rsidRDefault="00D35D49" w:rsidP="00E8656E">
      <w:pPr>
        <w:pStyle w:val="FSADocumentText"/>
        <w:rPr>
          <w:highlight w:val="yellow"/>
        </w:rPr>
      </w:pPr>
    </w:p>
    <w:bookmarkStart w:id="75" w:name="_MON_1814611659"/>
    <w:bookmarkEnd w:id="75"/>
    <w:p w14:paraId="01E19C21" w14:textId="7129CA93" w:rsidR="00C45290" w:rsidRDefault="00F6412E" w:rsidP="00E8656E">
      <w:pPr>
        <w:pStyle w:val="FSADocumentText"/>
        <w:rPr>
          <w:highlight w:val="yellow"/>
        </w:rPr>
      </w:pPr>
      <w:r>
        <w:object w:dxaOrig="1532" w:dyaOrig="993" w14:anchorId="628C9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1" o:title=""/>
          </v:shape>
          <o:OLEObject Type="Embed" ProgID="Excel.Sheet.12" ShapeID="_x0000_i1025" DrawAspect="Icon" ObjectID="_1814691538" r:id="rId32"/>
        </w:object>
      </w:r>
    </w:p>
    <w:p w14:paraId="14BCC6D7" w14:textId="1EF63423" w:rsidR="00D35D49" w:rsidRDefault="00D35D49" w:rsidP="00E8656E">
      <w:pPr>
        <w:pStyle w:val="FSADocumentText"/>
      </w:pPr>
    </w:p>
    <w:p w14:paraId="32055DB3" w14:textId="77777777" w:rsidR="00E806AF" w:rsidRPr="00926652" w:rsidRDefault="00E806AF" w:rsidP="00E8656E">
      <w:pPr>
        <w:pStyle w:val="FSADocumentText"/>
      </w:pPr>
    </w:p>
    <w:p w14:paraId="686BE3FC" w14:textId="6F2E56CC" w:rsidR="00E8656E" w:rsidRPr="00926652" w:rsidRDefault="00926652" w:rsidP="00926652">
      <w:pPr>
        <w:pStyle w:val="Heading1"/>
        <w:numPr>
          <w:ilvl w:val="0"/>
          <w:numId w:val="38"/>
        </w:numPr>
      </w:pPr>
      <w:bookmarkStart w:id="76" w:name="_Draft_Guidance"/>
      <w:bookmarkStart w:id="77" w:name="_Toc201927357"/>
      <w:bookmarkEnd w:id="76"/>
      <w:r w:rsidRPr="00926652">
        <w:t>Draft Guidance</w:t>
      </w:r>
      <w:bookmarkEnd w:id="77"/>
    </w:p>
    <w:p w14:paraId="63E7F9CF" w14:textId="77777777" w:rsidR="00D35D49" w:rsidRPr="00C45290" w:rsidRDefault="00D35D49" w:rsidP="00E8656E">
      <w:pPr>
        <w:pStyle w:val="FSADocumentText"/>
      </w:pPr>
    </w:p>
    <w:p w14:paraId="7A777D65" w14:textId="613D26A0" w:rsidR="00E806AF" w:rsidRPr="00C45290" w:rsidRDefault="008374B0" w:rsidP="00E8656E">
      <w:pPr>
        <w:pStyle w:val="FSADocumentText"/>
      </w:pPr>
      <w:r>
        <w:object w:dxaOrig="1532" w:dyaOrig="993" w14:anchorId="3E1FB3AF">
          <v:shape id="_x0000_i1026" type="#_x0000_t75" style="width:76.5pt;height:49.5pt" o:ole="">
            <v:imagedata r:id="rId33" o:title=""/>
          </v:shape>
          <o:OLEObject Type="Embed" ProgID="Word.Document.12" ShapeID="_x0000_i1026" DrawAspect="Icon" ObjectID="_1814691539" r:id="rId34">
            <o:FieldCodes>\s</o:FieldCodes>
          </o:OLEObject>
        </w:object>
      </w:r>
    </w:p>
    <w:p w14:paraId="44CE3111" w14:textId="77777777" w:rsidR="00D35D49" w:rsidRPr="00926652" w:rsidRDefault="00D35D49" w:rsidP="00E8656E">
      <w:pPr>
        <w:pStyle w:val="FSADocumentText"/>
      </w:pPr>
    </w:p>
    <w:p w14:paraId="039D859F" w14:textId="7F17AE67" w:rsidR="00D35D49" w:rsidRDefault="00D35D49" w:rsidP="00D35D49">
      <w:pPr>
        <w:pStyle w:val="FSADocumentText"/>
      </w:pPr>
      <w:bookmarkStart w:id="78" w:name="_Example_–_LCR"/>
      <w:bookmarkEnd w:id="78"/>
    </w:p>
    <w:p w14:paraId="1D5A3B9F" w14:textId="69F84C12" w:rsidR="003E4FF4" w:rsidRPr="003E4FF4" w:rsidRDefault="003E4FF4" w:rsidP="006C038D">
      <w:pPr>
        <w:pStyle w:val="FSADocumentText"/>
        <w:rPr>
          <w:highlight w:val="yellow"/>
        </w:rPr>
      </w:pPr>
    </w:p>
    <w:sectPr w:rsidR="003E4FF4" w:rsidRPr="003E4FF4" w:rsidSect="00031D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A1BA4" w14:textId="77777777" w:rsidR="00147DAD" w:rsidRDefault="00147DAD" w:rsidP="007C158D">
      <w:pPr>
        <w:spacing w:after="0" w:line="240" w:lineRule="auto"/>
      </w:pPr>
      <w:r>
        <w:separator/>
      </w:r>
    </w:p>
  </w:endnote>
  <w:endnote w:type="continuationSeparator" w:id="0">
    <w:p w14:paraId="77148056" w14:textId="77777777" w:rsidR="00147DAD" w:rsidRDefault="00147DAD" w:rsidP="007C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C407" w14:textId="77777777" w:rsidR="00A83B45" w:rsidRDefault="00A83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085158"/>
      <w:docPartObj>
        <w:docPartGallery w:val="Page Numbers (Bottom of Page)"/>
        <w:docPartUnique/>
      </w:docPartObj>
    </w:sdtPr>
    <w:sdtContent>
      <w:sdt>
        <w:sdtPr>
          <w:id w:val="-1769616900"/>
          <w:docPartObj>
            <w:docPartGallery w:val="Page Numbers (Top of Page)"/>
            <w:docPartUnique/>
          </w:docPartObj>
        </w:sdtPr>
        <w:sdtContent>
          <w:p w14:paraId="3A956E5F" w14:textId="69959E02" w:rsidR="00E842E8" w:rsidRDefault="00E842E8" w:rsidP="00582E51">
            <w:pPr>
              <w:pStyle w:val="FSAPageNumber"/>
            </w:pPr>
            <w:r w:rsidRPr="00A264F1">
              <w:t>DP</w:t>
            </w:r>
            <w:r w:rsidR="00A264F1" w:rsidRPr="00A264F1">
              <w:t>25</w:t>
            </w:r>
            <w:r w:rsidRPr="00A264F1">
              <w:t>-</w:t>
            </w:r>
            <w:r w:rsidR="00A264F1" w:rsidRPr="00A264F1">
              <w:t>0</w:t>
            </w:r>
            <w:r w:rsidR="00D81A0E">
              <w:t>2</w:t>
            </w:r>
            <w:r>
              <w:tab/>
            </w:r>
            <w:r>
              <w:tab/>
              <w:t xml:space="preserve">Page </w:t>
            </w:r>
            <w:r>
              <w:rPr>
                <w:sz w:val="24"/>
                <w:szCs w:val="24"/>
              </w:rPr>
              <w:fldChar w:fldCharType="begin"/>
            </w:r>
            <w:r>
              <w:instrText xml:space="preserve"> PAGE </w:instrText>
            </w:r>
            <w:r>
              <w:rPr>
                <w:sz w:val="24"/>
                <w:szCs w:val="24"/>
              </w:rPr>
              <w:fldChar w:fldCharType="separate"/>
            </w:r>
            <w:r w:rsidR="00C03DC2">
              <w:rPr>
                <w:noProof/>
              </w:rPr>
              <w:t>7</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sidR="00C03DC2">
              <w:rPr>
                <w:noProof/>
              </w:rPr>
              <w:t>8</w:t>
            </w:r>
            <w:r>
              <w:rPr>
                <w:noProof/>
              </w:rPr>
              <w:fldChar w:fldCharType="end"/>
            </w:r>
          </w:p>
        </w:sdtContent>
      </w:sdt>
    </w:sdtContent>
  </w:sdt>
  <w:p w14:paraId="11B800D1" w14:textId="0F6EB65A" w:rsidR="00E842E8" w:rsidRPr="00C47889" w:rsidRDefault="00E842E8" w:rsidP="00582E51">
    <w:pPr>
      <w:pStyle w:val="FSAPageNumber"/>
    </w:pPr>
    <w:r>
      <w:t xml:space="preserve">Issued </w:t>
    </w:r>
    <w:r w:rsidR="00A83B45">
      <w:t>22 July</w:t>
    </w:r>
    <w:r w:rsidR="00002A77">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266547"/>
      <w:docPartObj>
        <w:docPartGallery w:val="Page Numbers (Bottom of Page)"/>
        <w:docPartUnique/>
      </w:docPartObj>
    </w:sdtPr>
    <w:sdtContent>
      <w:sdt>
        <w:sdtPr>
          <w:id w:val="1437175453"/>
          <w:docPartObj>
            <w:docPartGallery w:val="Page Numbers (Top of Page)"/>
            <w:docPartUnique/>
          </w:docPartObj>
        </w:sdtPr>
        <w:sdtContent>
          <w:p w14:paraId="56171262" w14:textId="30ACD1BB" w:rsidR="00F63EB4" w:rsidRDefault="00F63EB4" w:rsidP="00F63EB4">
            <w:pPr>
              <w:pStyle w:val="FSAPageNumber"/>
            </w:pPr>
            <w:r w:rsidRPr="002A0B80">
              <w:t>DP</w:t>
            </w:r>
            <w:r w:rsidR="002A0B80" w:rsidRPr="002A0B80">
              <w:t>25</w:t>
            </w:r>
            <w:r w:rsidRPr="002A0B80">
              <w:t>-</w:t>
            </w:r>
            <w:r w:rsidR="002A0B80" w:rsidRPr="002A0B80">
              <w:t>0</w:t>
            </w:r>
            <w:r w:rsidR="0063548E">
              <w:t>2</w:t>
            </w:r>
            <w:r>
              <w:tab/>
            </w: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Pr>
                <w:noProof/>
              </w:rPr>
              <w:fldChar w:fldCharType="begin"/>
            </w:r>
            <w:r>
              <w:rPr>
                <w:noProof/>
              </w:rPr>
              <w:instrText xml:space="preserve"> NUMPAGES  </w:instrText>
            </w:r>
            <w:r>
              <w:rPr>
                <w:noProof/>
              </w:rPr>
              <w:fldChar w:fldCharType="separate"/>
            </w:r>
            <w:r>
              <w:rPr>
                <w:noProof/>
              </w:rPr>
              <w:t>8</w:t>
            </w:r>
            <w:r>
              <w:rPr>
                <w:noProof/>
              </w:rPr>
              <w:fldChar w:fldCharType="end"/>
            </w:r>
          </w:p>
        </w:sdtContent>
      </w:sdt>
    </w:sdtContent>
  </w:sdt>
  <w:p w14:paraId="4E292F03" w14:textId="5E65A4D7" w:rsidR="00F63EB4" w:rsidRPr="00C47889" w:rsidRDefault="00F63EB4" w:rsidP="00F63EB4">
    <w:pPr>
      <w:pStyle w:val="FSAPageNumber"/>
    </w:pPr>
    <w:r>
      <w:t xml:space="preserve">Issued </w:t>
    </w:r>
    <w:r w:rsidR="00E41589">
      <w:t>22 July</w:t>
    </w:r>
    <w:r w:rsidR="00FD7ACB">
      <w:t xml:space="preserve"> 2025</w:t>
    </w:r>
  </w:p>
  <w:p w14:paraId="62B18A21" w14:textId="23D43568" w:rsidR="00E842E8" w:rsidRPr="006C038D" w:rsidRDefault="00E842E8">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1596" w14:textId="77777777" w:rsidR="00147DAD" w:rsidRDefault="00147DAD" w:rsidP="007C158D">
      <w:pPr>
        <w:spacing w:after="0" w:line="240" w:lineRule="auto"/>
      </w:pPr>
      <w:r>
        <w:separator/>
      </w:r>
    </w:p>
  </w:footnote>
  <w:footnote w:type="continuationSeparator" w:id="0">
    <w:p w14:paraId="50704704" w14:textId="77777777" w:rsidR="00147DAD" w:rsidRDefault="00147DAD" w:rsidP="007C158D">
      <w:pPr>
        <w:spacing w:after="0" w:line="240" w:lineRule="auto"/>
      </w:pPr>
      <w:r>
        <w:continuationSeparator/>
      </w:r>
    </w:p>
  </w:footnote>
  <w:footnote w:id="1">
    <w:p w14:paraId="110E00CB" w14:textId="49DEB073" w:rsidR="00FC6D9C" w:rsidRDefault="00FC6D9C">
      <w:pPr>
        <w:pStyle w:val="FootnoteText"/>
      </w:pPr>
      <w:r>
        <w:rPr>
          <w:rStyle w:val="FootnoteReference"/>
        </w:rPr>
        <w:footnoteRef/>
      </w:r>
      <w:r>
        <w:t xml:space="preserve"> Including DP 25-01 issued 28 May 2025.</w:t>
      </w:r>
    </w:p>
  </w:footnote>
  <w:footnote w:id="2">
    <w:p w14:paraId="23264720" w14:textId="77777777" w:rsidR="00B16DEF" w:rsidRDefault="00B16DEF" w:rsidP="00B16DEF">
      <w:pPr>
        <w:pStyle w:val="FootnoteText"/>
      </w:pPr>
      <w:r>
        <w:rPr>
          <w:rStyle w:val="FootnoteReference"/>
        </w:rPr>
        <w:footnoteRef/>
      </w:r>
      <w:r>
        <w:t xml:space="preserve"> </w:t>
      </w:r>
      <w:hyperlink r:id="rId1" w:history="1">
        <w:r>
          <w:rPr>
            <w:rStyle w:val="Hyperlink"/>
            <w:iCs/>
          </w:rPr>
          <w:t>https://www.iomfsa.im/terms-conditions/privacy-notice/</w:t>
        </w:r>
      </w:hyperlink>
    </w:p>
  </w:footnote>
  <w:footnote w:id="3">
    <w:p w14:paraId="094B6083" w14:textId="52A462F6" w:rsidR="00CD5ADF" w:rsidRDefault="00CD5ADF" w:rsidP="008A5ED1">
      <w:pPr>
        <w:pStyle w:val="FootnoteText"/>
        <w:jc w:val="both"/>
      </w:pPr>
      <w:r>
        <w:rPr>
          <w:rStyle w:val="FootnoteReference"/>
        </w:rPr>
        <w:footnoteRef/>
      </w:r>
      <w:r>
        <w:t xml:space="preserve"> In this context, the “minimum </w:t>
      </w:r>
      <w:r w:rsidR="008A5ED1">
        <w:t xml:space="preserve">funding </w:t>
      </w:r>
      <w:r>
        <w:t>liquidity requirement” means</w:t>
      </w:r>
      <w:r w:rsidR="0008457B">
        <w:t>: (a)</w:t>
      </w:r>
      <w:r>
        <w:t xml:space="preserve"> such </w:t>
      </w:r>
      <w:r w:rsidR="008A5ED1">
        <w:t xml:space="preserve">NSFR </w:t>
      </w:r>
      <w:r>
        <w:t xml:space="preserve">as the Authority may direct in the case of the bank; or </w:t>
      </w:r>
      <w:r w:rsidR="0008457B">
        <w:t xml:space="preserve">(b) </w:t>
      </w:r>
      <w:r>
        <w:t xml:space="preserve">where no such direction is given, </w:t>
      </w:r>
      <w:r w:rsidR="008A5ED1">
        <w:t>a NSFR</w:t>
      </w:r>
      <w:r>
        <w:t xml:space="preserve"> of 100%.</w:t>
      </w:r>
    </w:p>
  </w:footnote>
  <w:footnote w:id="4">
    <w:p w14:paraId="301DFF08" w14:textId="0CB2A0B6" w:rsidR="00C81876" w:rsidRDefault="00C81876" w:rsidP="00C81876">
      <w:pPr>
        <w:pStyle w:val="FootnoteText"/>
        <w:jc w:val="both"/>
      </w:pPr>
      <w:r>
        <w:rPr>
          <w:rStyle w:val="FootnoteReference"/>
        </w:rPr>
        <w:footnoteRef/>
      </w:r>
      <w:r>
        <w:t xml:space="preserve"> Unlike the LCR there is no requirement for the NSFR to be measured and monitored </w:t>
      </w:r>
      <w:r w:rsidR="001A067C">
        <w:t>daily</w:t>
      </w:r>
      <w:r>
        <w:t xml:space="preserve">.  The frequency of measuring and monitoring the NSFR will </w:t>
      </w:r>
      <w:r w:rsidRPr="00C81876">
        <w:t>depend</w:t>
      </w:r>
      <w:r w:rsidRPr="00C81876">
        <w:rPr>
          <w:rFonts w:cs="Calibri"/>
          <w:szCs w:val="24"/>
        </w:rPr>
        <w:t xml:space="preserve"> on various factors including the bank's size, complexity, and the prevailing market conditions. Some banks may monitor the NSFR more frequently, while others may be sufficient with monthly or quarterly review.</w:t>
      </w:r>
    </w:p>
  </w:footnote>
  <w:footnote w:id="5">
    <w:p w14:paraId="61FFE4D1" w14:textId="49DD0338" w:rsidR="00AF630D" w:rsidRDefault="00AF630D">
      <w:pPr>
        <w:pStyle w:val="FootnoteText"/>
      </w:pPr>
      <w:r>
        <w:rPr>
          <w:rStyle w:val="FootnoteReference"/>
        </w:rPr>
        <w:footnoteRef/>
      </w:r>
      <w:r>
        <w:t xml:space="preserve"> </w:t>
      </w:r>
      <w:r w:rsidR="00733CEC">
        <w:t>Consistent</w:t>
      </w:r>
      <w:r>
        <w:t xml:space="preserve"> with the draft guidance for the LCR Reporting Form as set out in DP25-01.</w:t>
      </w:r>
    </w:p>
  </w:footnote>
  <w:footnote w:id="6">
    <w:p w14:paraId="1E373BA7" w14:textId="1F3AB2FD" w:rsidR="00674FE8" w:rsidRDefault="00674FE8" w:rsidP="00674FE8">
      <w:pPr>
        <w:pStyle w:val="FootnoteText"/>
        <w:jc w:val="both"/>
      </w:pPr>
      <w:r>
        <w:rPr>
          <w:rStyle w:val="FootnoteReference"/>
        </w:rPr>
        <w:footnoteRef/>
      </w:r>
      <w:r>
        <w:t xml:space="preserve"> The current maturity mismatch return can include behavioural adjustments to both assets and liabilities, specific to each bank.</w:t>
      </w:r>
    </w:p>
  </w:footnote>
  <w:footnote w:id="7">
    <w:p w14:paraId="1265E032" w14:textId="2351879D" w:rsidR="006023F1" w:rsidRDefault="006023F1">
      <w:pPr>
        <w:pStyle w:val="FootnoteText"/>
      </w:pPr>
      <w:r>
        <w:rPr>
          <w:rStyle w:val="FootnoteReference"/>
        </w:rPr>
        <w:footnoteRef/>
      </w:r>
      <w:r>
        <w:t xml:space="preserve"> This </w:t>
      </w:r>
      <w:r w:rsidR="001A067C">
        <w:t>considers</w:t>
      </w:r>
      <w:r>
        <w:t xml:space="preserve"> feedback provided for DP25-01.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0F6D" w14:textId="77777777" w:rsidR="00A83B45" w:rsidRDefault="00A83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367D" w14:textId="20EC4B60" w:rsidR="00E842E8" w:rsidRPr="006C038D" w:rsidRDefault="00E842E8" w:rsidP="00507FEC">
    <w:pPr>
      <w:pStyle w:val="Header"/>
      <w:jc w:val="right"/>
      <w:rPr>
        <w:color w:val="005782"/>
        <w:sz w:val="20"/>
        <w:szCs w:val="20"/>
      </w:rPr>
    </w:pPr>
    <w:r w:rsidRPr="006C038D">
      <w:rPr>
        <w:color w:val="005782"/>
        <w:sz w:val="20"/>
        <w:szCs w:val="20"/>
      </w:rPr>
      <w:t>Isle of Man Financial Services Authority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EAE2" w14:textId="77777777" w:rsidR="00A83B45" w:rsidRDefault="00A83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7A09"/>
    <w:multiLevelType w:val="hybridMultilevel"/>
    <w:tmpl w:val="9ABEF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D96F2D"/>
    <w:multiLevelType w:val="hybridMultilevel"/>
    <w:tmpl w:val="DD0E10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A6F1F"/>
    <w:multiLevelType w:val="hybridMultilevel"/>
    <w:tmpl w:val="0F4E8636"/>
    <w:lvl w:ilvl="0" w:tplc="3F2C0A8E">
      <w:start w:val="1"/>
      <w:numFmt w:val="low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B0CEE"/>
    <w:multiLevelType w:val="hybridMultilevel"/>
    <w:tmpl w:val="8542AECC"/>
    <w:lvl w:ilvl="0" w:tplc="95B84D16">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E42404"/>
    <w:multiLevelType w:val="hybridMultilevel"/>
    <w:tmpl w:val="9ABEF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577C5D"/>
    <w:multiLevelType w:val="hybridMultilevel"/>
    <w:tmpl w:val="8916A6F4"/>
    <w:lvl w:ilvl="0" w:tplc="71A08E9A">
      <w:start w:val="1"/>
      <w:numFmt w:val="bullet"/>
      <w:lvlText w:val=""/>
      <w:lvlJc w:val="left"/>
      <w:pPr>
        <w:ind w:left="720" w:hanging="360"/>
      </w:pPr>
      <w:rPr>
        <w:rFonts w:ascii="Symbol" w:hAnsi="Symbol"/>
      </w:rPr>
    </w:lvl>
    <w:lvl w:ilvl="1" w:tplc="56DE168C">
      <w:start w:val="1"/>
      <w:numFmt w:val="bullet"/>
      <w:lvlText w:val=""/>
      <w:lvlJc w:val="left"/>
      <w:pPr>
        <w:ind w:left="720" w:hanging="360"/>
      </w:pPr>
      <w:rPr>
        <w:rFonts w:ascii="Symbol" w:hAnsi="Symbol"/>
      </w:rPr>
    </w:lvl>
    <w:lvl w:ilvl="2" w:tplc="65D06572">
      <w:start w:val="1"/>
      <w:numFmt w:val="bullet"/>
      <w:lvlText w:val=""/>
      <w:lvlJc w:val="left"/>
      <w:pPr>
        <w:ind w:left="720" w:hanging="360"/>
      </w:pPr>
      <w:rPr>
        <w:rFonts w:ascii="Symbol" w:hAnsi="Symbol"/>
      </w:rPr>
    </w:lvl>
    <w:lvl w:ilvl="3" w:tplc="55B2FA40">
      <w:start w:val="1"/>
      <w:numFmt w:val="bullet"/>
      <w:lvlText w:val=""/>
      <w:lvlJc w:val="left"/>
      <w:pPr>
        <w:ind w:left="720" w:hanging="360"/>
      </w:pPr>
      <w:rPr>
        <w:rFonts w:ascii="Symbol" w:hAnsi="Symbol"/>
      </w:rPr>
    </w:lvl>
    <w:lvl w:ilvl="4" w:tplc="1464943E">
      <w:start w:val="1"/>
      <w:numFmt w:val="bullet"/>
      <w:lvlText w:val=""/>
      <w:lvlJc w:val="left"/>
      <w:pPr>
        <w:ind w:left="720" w:hanging="360"/>
      </w:pPr>
      <w:rPr>
        <w:rFonts w:ascii="Symbol" w:hAnsi="Symbol"/>
      </w:rPr>
    </w:lvl>
    <w:lvl w:ilvl="5" w:tplc="8C1EBF84">
      <w:start w:val="1"/>
      <w:numFmt w:val="bullet"/>
      <w:lvlText w:val=""/>
      <w:lvlJc w:val="left"/>
      <w:pPr>
        <w:ind w:left="720" w:hanging="360"/>
      </w:pPr>
      <w:rPr>
        <w:rFonts w:ascii="Symbol" w:hAnsi="Symbol"/>
      </w:rPr>
    </w:lvl>
    <w:lvl w:ilvl="6" w:tplc="DC6EEBA4">
      <w:start w:val="1"/>
      <w:numFmt w:val="bullet"/>
      <w:lvlText w:val=""/>
      <w:lvlJc w:val="left"/>
      <w:pPr>
        <w:ind w:left="720" w:hanging="360"/>
      </w:pPr>
      <w:rPr>
        <w:rFonts w:ascii="Symbol" w:hAnsi="Symbol"/>
      </w:rPr>
    </w:lvl>
    <w:lvl w:ilvl="7" w:tplc="8E4C64EE">
      <w:start w:val="1"/>
      <w:numFmt w:val="bullet"/>
      <w:lvlText w:val=""/>
      <w:lvlJc w:val="left"/>
      <w:pPr>
        <w:ind w:left="720" w:hanging="360"/>
      </w:pPr>
      <w:rPr>
        <w:rFonts w:ascii="Symbol" w:hAnsi="Symbol"/>
      </w:rPr>
    </w:lvl>
    <w:lvl w:ilvl="8" w:tplc="52DAF446">
      <w:start w:val="1"/>
      <w:numFmt w:val="bullet"/>
      <w:lvlText w:val=""/>
      <w:lvlJc w:val="left"/>
      <w:pPr>
        <w:ind w:left="720" w:hanging="360"/>
      </w:pPr>
      <w:rPr>
        <w:rFonts w:ascii="Symbol" w:hAnsi="Symbol"/>
      </w:rPr>
    </w:lvl>
  </w:abstractNum>
  <w:abstractNum w:abstractNumId="6" w15:restartNumberingAfterBreak="0">
    <w:nsid w:val="128D6F64"/>
    <w:multiLevelType w:val="multilevel"/>
    <w:tmpl w:val="500C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0B4E79"/>
    <w:multiLevelType w:val="multilevel"/>
    <w:tmpl w:val="1076CA24"/>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652" w:hanging="652"/>
      </w:pPr>
      <w:rPr>
        <w:rFonts w:hint="default"/>
      </w:rPr>
    </w:lvl>
    <w:lvl w:ilvl="2">
      <w:start w:val="1"/>
      <w:numFmt w:val="decimal"/>
      <w:pStyle w:val="Heading3"/>
      <w:lvlText w:val="%1.%2.%3"/>
      <w:lvlJc w:val="left"/>
      <w:pPr>
        <w:ind w:left="794" w:hanging="79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3E72F03"/>
    <w:multiLevelType w:val="hybridMultilevel"/>
    <w:tmpl w:val="D78EF47E"/>
    <w:lvl w:ilvl="0" w:tplc="334C4782">
      <w:start w:val="1"/>
      <w:numFmt w:val="lowerRoman"/>
      <w:lvlText w:val="%1."/>
      <w:lvlJc w:val="center"/>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ED6BF0"/>
    <w:multiLevelType w:val="hybridMultilevel"/>
    <w:tmpl w:val="39D8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83EAF"/>
    <w:multiLevelType w:val="hybridMultilevel"/>
    <w:tmpl w:val="E96A067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8E6568F"/>
    <w:multiLevelType w:val="hybridMultilevel"/>
    <w:tmpl w:val="04E05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31955"/>
    <w:multiLevelType w:val="hybridMultilevel"/>
    <w:tmpl w:val="7E7AB1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7663F3"/>
    <w:multiLevelType w:val="hybridMultilevel"/>
    <w:tmpl w:val="433CD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701B4"/>
    <w:multiLevelType w:val="hybridMultilevel"/>
    <w:tmpl w:val="1A4EA0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2612B6F"/>
    <w:multiLevelType w:val="hybridMultilevel"/>
    <w:tmpl w:val="24DC703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6" w15:restartNumberingAfterBreak="0">
    <w:nsid w:val="28EE7DFE"/>
    <w:multiLevelType w:val="hybridMultilevel"/>
    <w:tmpl w:val="752C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B740C"/>
    <w:multiLevelType w:val="hybridMultilevel"/>
    <w:tmpl w:val="7E7AB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557420"/>
    <w:multiLevelType w:val="hybridMultilevel"/>
    <w:tmpl w:val="9D00A584"/>
    <w:lvl w:ilvl="0" w:tplc="679C67AC">
      <w:start w:val="1"/>
      <w:numFmt w:val="decimal"/>
      <w:lvlText w:val="1.%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34454D"/>
    <w:multiLevelType w:val="multilevel"/>
    <w:tmpl w:val="1FC8C25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533370"/>
    <w:multiLevelType w:val="hybridMultilevel"/>
    <w:tmpl w:val="89701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F73825"/>
    <w:multiLevelType w:val="hybridMultilevel"/>
    <w:tmpl w:val="21A2CD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AA2057F"/>
    <w:multiLevelType w:val="hybridMultilevel"/>
    <w:tmpl w:val="F5B8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65733"/>
    <w:multiLevelType w:val="hybridMultilevel"/>
    <w:tmpl w:val="2D2A0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BE5139"/>
    <w:multiLevelType w:val="hybridMultilevel"/>
    <w:tmpl w:val="5F7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C0F17"/>
    <w:multiLevelType w:val="hybridMultilevel"/>
    <w:tmpl w:val="320E9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BF1"/>
    <w:multiLevelType w:val="hybridMultilevel"/>
    <w:tmpl w:val="79B206EE"/>
    <w:lvl w:ilvl="0" w:tplc="F96E83F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54BDB"/>
    <w:multiLevelType w:val="hybridMultilevel"/>
    <w:tmpl w:val="CB1C9F6A"/>
    <w:lvl w:ilvl="0" w:tplc="1E68C562">
      <w:start w:val="1"/>
      <w:numFmt w:val="bullet"/>
      <w:lvlText w:val=""/>
      <w:lvlJc w:val="left"/>
      <w:pPr>
        <w:ind w:left="720" w:hanging="360"/>
      </w:pPr>
      <w:rPr>
        <w:rFonts w:ascii="Symbol" w:hAnsi="Symbol"/>
      </w:rPr>
    </w:lvl>
    <w:lvl w:ilvl="1" w:tplc="C66C9EEA">
      <w:start w:val="1"/>
      <w:numFmt w:val="bullet"/>
      <w:lvlText w:val=""/>
      <w:lvlJc w:val="left"/>
      <w:pPr>
        <w:ind w:left="720" w:hanging="360"/>
      </w:pPr>
      <w:rPr>
        <w:rFonts w:ascii="Symbol" w:hAnsi="Symbol"/>
      </w:rPr>
    </w:lvl>
    <w:lvl w:ilvl="2" w:tplc="E5381DAE">
      <w:start w:val="1"/>
      <w:numFmt w:val="bullet"/>
      <w:lvlText w:val=""/>
      <w:lvlJc w:val="left"/>
      <w:pPr>
        <w:ind w:left="720" w:hanging="360"/>
      </w:pPr>
      <w:rPr>
        <w:rFonts w:ascii="Symbol" w:hAnsi="Symbol"/>
      </w:rPr>
    </w:lvl>
    <w:lvl w:ilvl="3" w:tplc="E886E250">
      <w:start w:val="1"/>
      <w:numFmt w:val="bullet"/>
      <w:lvlText w:val=""/>
      <w:lvlJc w:val="left"/>
      <w:pPr>
        <w:ind w:left="720" w:hanging="360"/>
      </w:pPr>
      <w:rPr>
        <w:rFonts w:ascii="Symbol" w:hAnsi="Symbol"/>
      </w:rPr>
    </w:lvl>
    <w:lvl w:ilvl="4" w:tplc="9F2CDE9E">
      <w:start w:val="1"/>
      <w:numFmt w:val="bullet"/>
      <w:lvlText w:val=""/>
      <w:lvlJc w:val="left"/>
      <w:pPr>
        <w:ind w:left="720" w:hanging="360"/>
      </w:pPr>
      <w:rPr>
        <w:rFonts w:ascii="Symbol" w:hAnsi="Symbol"/>
      </w:rPr>
    </w:lvl>
    <w:lvl w:ilvl="5" w:tplc="DD966858">
      <w:start w:val="1"/>
      <w:numFmt w:val="bullet"/>
      <w:lvlText w:val=""/>
      <w:lvlJc w:val="left"/>
      <w:pPr>
        <w:ind w:left="720" w:hanging="360"/>
      </w:pPr>
      <w:rPr>
        <w:rFonts w:ascii="Symbol" w:hAnsi="Symbol"/>
      </w:rPr>
    </w:lvl>
    <w:lvl w:ilvl="6" w:tplc="965AA84A">
      <w:start w:val="1"/>
      <w:numFmt w:val="bullet"/>
      <w:lvlText w:val=""/>
      <w:lvlJc w:val="left"/>
      <w:pPr>
        <w:ind w:left="720" w:hanging="360"/>
      </w:pPr>
      <w:rPr>
        <w:rFonts w:ascii="Symbol" w:hAnsi="Symbol"/>
      </w:rPr>
    </w:lvl>
    <w:lvl w:ilvl="7" w:tplc="955EC8A0">
      <w:start w:val="1"/>
      <w:numFmt w:val="bullet"/>
      <w:lvlText w:val=""/>
      <w:lvlJc w:val="left"/>
      <w:pPr>
        <w:ind w:left="720" w:hanging="360"/>
      </w:pPr>
      <w:rPr>
        <w:rFonts w:ascii="Symbol" w:hAnsi="Symbol"/>
      </w:rPr>
    </w:lvl>
    <w:lvl w:ilvl="8" w:tplc="1BBA1C88">
      <w:start w:val="1"/>
      <w:numFmt w:val="bullet"/>
      <w:lvlText w:val=""/>
      <w:lvlJc w:val="left"/>
      <w:pPr>
        <w:ind w:left="720" w:hanging="360"/>
      </w:pPr>
      <w:rPr>
        <w:rFonts w:ascii="Symbol" w:hAnsi="Symbol"/>
      </w:rPr>
    </w:lvl>
  </w:abstractNum>
  <w:abstractNum w:abstractNumId="28" w15:restartNumberingAfterBreak="0">
    <w:nsid w:val="5DFE1C9A"/>
    <w:multiLevelType w:val="hybridMultilevel"/>
    <w:tmpl w:val="0E30A522"/>
    <w:lvl w:ilvl="0" w:tplc="339EC3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375615"/>
    <w:multiLevelType w:val="hybridMultilevel"/>
    <w:tmpl w:val="D0502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3D70FC"/>
    <w:multiLevelType w:val="hybridMultilevel"/>
    <w:tmpl w:val="718A58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321E78"/>
    <w:multiLevelType w:val="hybridMultilevel"/>
    <w:tmpl w:val="9686FAA4"/>
    <w:lvl w:ilvl="0" w:tplc="156065F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8F3E89"/>
    <w:multiLevelType w:val="hybridMultilevel"/>
    <w:tmpl w:val="C9B8375C"/>
    <w:lvl w:ilvl="0" w:tplc="339EC3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DE72B5"/>
    <w:multiLevelType w:val="hybridMultilevel"/>
    <w:tmpl w:val="D138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74C66"/>
    <w:multiLevelType w:val="hybridMultilevel"/>
    <w:tmpl w:val="42D40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2D25FC"/>
    <w:multiLevelType w:val="hybridMultilevel"/>
    <w:tmpl w:val="600888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7948021">
    <w:abstractNumId w:val="35"/>
  </w:num>
  <w:num w:numId="2" w16cid:durableId="1535465982">
    <w:abstractNumId w:val="1"/>
  </w:num>
  <w:num w:numId="3" w16cid:durableId="1104492379">
    <w:abstractNumId w:val="30"/>
  </w:num>
  <w:num w:numId="4" w16cid:durableId="2134403539">
    <w:abstractNumId w:val="2"/>
  </w:num>
  <w:num w:numId="5" w16cid:durableId="917834999">
    <w:abstractNumId w:val="8"/>
  </w:num>
  <w:num w:numId="6" w16cid:durableId="1030379565">
    <w:abstractNumId w:val="29"/>
  </w:num>
  <w:num w:numId="7" w16cid:durableId="315916221">
    <w:abstractNumId w:val="14"/>
  </w:num>
  <w:num w:numId="8" w16cid:durableId="155415204">
    <w:abstractNumId w:val="7"/>
  </w:num>
  <w:num w:numId="9" w16cid:durableId="1057124198">
    <w:abstractNumId w:val="18"/>
  </w:num>
  <w:num w:numId="10" w16cid:durableId="18417749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7104910">
    <w:abstractNumId w:val="26"/>
  </w:num>
  <w:num w:numId="12" w16cid:durableId="1427070515">
    <w:abstractNumId w:val="31"/>
  </w:num>
  <w:num w:numId="13" w16cid:durableId="539123361">
    <w:abstractNumId w:val="9"/>
  </w:num>
  <w:num w:numId="14" w16cid:durableId="1149143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1343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1986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7452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0249185">
    <w:abstractNumId w:val="25"/>
  </w:num>
  <w:num w:numId="19" w16cid:durableId="488837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03962428">
    <w:abstractNumId w:val="28"/>
  </w:num>
  <w:num w:numId="21" w16cid:durableId="1506282435">
    <w:abstractNumId w:val="34"/>
  </w:num>
  <w:num w:numId="22" w16cid:durableId="14270">
    <w:abstractNumId w:val="16"/>
  </w:num>
  <w:num w:numId="23" w16cid:durableId="1758556752">
    <w:abstractNumId w:val="6"/>
  </w:num>
  <w:num w:numId="24" w16cid:durableId="1112825416">
    <w:abstractNumId w:val="17"/>
  </w:num>
  <w:num w:numId="25" w16cid:durableId="118687306">
    <w:abstractNumId w:val="12"/>
  </w:num>
  <w:num w:numId="26" w16cid:durableId="1868522113">
    <w:abstractNumId w:val="0"/>
  </w:num>
  <w:num w:numId="27" w16cid:durableId="944655017">
    <w:abstractNumId w:val="10"/>
  </w:num>
  <w:num w:numId="28" w16cid:durableId="2126994486">
    <w:abstractNumId w:val="27"/>
  </w:num>
  <w:num w:numId="29" w16cid:durableId="1643147746">
    <w:abstractNumId w:val="5"/>
  </w:num>
  <w:num w:numId="30" w16cid:durableId="1521313830">
    <w:abstractNumId w:val="19"/>
  </w:num>
  <w:num w:numId="31" w16cid:durableId="341666540">
    <w:abstractNumId w:val="3"/>
  </w:num>
  <w:num w:numId="32" w16cid:durableId="279336956">
    <w:abstractNumId w:val="11"/>
  </w:num>
  <w:num w:numId="33" w16cid:durableId="1222671062">
    <w:abstractNumId w:val="22"/>
  </w:num>
  <w:num w:numId="34" w16cid:durableId="1654724476">
    <w:abstractNumId w:val="13"/>
  </w:num>
  <w:num w:numId="35" w16cid:durableId="1548298709">
    <w:abstractNumId w:val="4"/>
  </w:num>
  <w:num w:numId="36" w16cid:durableId="96021048">
    <w:abstractNumId w:val="32"/>
  </w:num>
  <w:num w:numId="37" w16cid:durableId="1862621872">
    <w:abstractNumId w:val="24"/>
  </w:num>
  <w:num w:numId="38" w16cid:durableId="669597376">
    <w:abstractNumId w:val="7"/>
    <w:lvlOverride w:ilvl="0">
      <w:startOverride w:val="1"/>
    </w:lvlOverride>
  </w:num>
  <w:num w:numId="39" w16cid:durableId="452097627">
    <w:abstractNumId w:val="23"/>
  </w:num>
  <w:num w:numId="40" w16cid:durableId="206259694">
    <w:abstractNumId w:val="33"/>
  </w:num>
  <w:num w:numId="41" w16cid:durableId="2028947254">
    <w:abstractNumId w:val="20"/>
  </w:num>
  <w:num w:numId="42" w16cid:durableId="229194215">
    <w:abstractNumId w:val="15"/>
  </w:num>
  <w:num w:numId="43" w16cid:durableId="18940051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E67"/>
    <w:rsid w:val="00002A77"/>
    <w:rsid w:val="0003167A"/>
    <w:rsid w:val="00031D8E"/>
    <w:rsid w:val="00031DE2"/>
    <w:rsid w:val="00035D15"/>
    <w:rsid w:val="000361F5"/>
    <w:rsid w:val="000376EE"/>
    <w:rsid w:val="0004031B"/>
    <w:rsid w:val="000614B0"/>
    <w:rsid w:val="00066772"/>
    <w:rsid w:val="00067CB4"/>
    <w:rsid w:val="000708E6"/>
    <w:rsid w:val="000735F7"/>
    <w:rsid w:val="00073A44"/>
    <w:rsid w:val="00073CD3"/>
    <w:rsid w:val="00074CBE"/>
    <w:rsid w:val="0008457B"/>
    <w:rsid w:val="00086540"/>
    <w:rsid w:val="0009049D"/>
    <w:rsid w:val="00093B9B"/>
    <w:rsid w:val="000A71A2"/>
    <w:rsid w:val="000C015C"/>
    <w:rsid w:val="000E2EC3"/>
    <w:rsid w:val="000F087B"/>
    <w:rsid w:val="000F722F"/>
    <w:rsid w:val="001053AD"/>
    <w:rsid w:val="00121CEA"/>
    <w:rsid w:val="001272C4"/>
    <w:rsid w:val="0013370F"/>
    <w:rsid w:val="00135DAA"/>
    <w:rsid w:val="0013663A"/>
    <w:rsid w:val="00147DAD"/>
    <w:rsid w:val="00155F8F"/>
    <w:rsid w:val="001701C9"/>
    <w:rsid w:val="00175BFA"/>
    <w:rsid w:val="001844C7"/>
    <w:rsid w:val="00192B16"/>
    <w:rsid w:val="0019322E"/>
    <w:rsid w:val="0019560A"/>
    <w:rsid w:val="00195E35"/>
    <w:rsid w:val="001A067C"/>
    <w:rsid w:val="001A15DB"/>
    <w:rsid w:val="001A45D3"/>
    <w:rsid w:val="001A5E6B"/>
    <w:rsid w:val="001B3B4A"/>
    <w:rsid w:val="001C1B87"/>
    <w:rsid w:val="001C6351"/>
    <w:rsid w:val="001C70FE"/>
    <w:rsid w:val="001D1963"/>
    <w:rsid w:val="001D7AA2"/>
    <w:rsid w:val="001E17EE"/>
    <w:rsid w:val="001E4274"/>
    <w:rsid w:val="001F02A5"/>
    <w:rsid w:val="001F1791"/>
    <w:rsid w:val="001F1DFC"/>
    <w:rsid w:val="002055C4"/>
    <w:rsid w:val="00206C5B"/>
    <w:rsid w:val="002108F5"/>
    <w:rsid w:val="0021123A"/>
    <w:rsid w:val="002216AE"/>
    <w:rsid w:val="00222398"/>
    <w:rsid w:val="00222BBE"/>
    <w:rsid w:val="00224C06"/>
    <w:rsid w:val="002261B9"/>
    <w:rsid w:val="00232A97"/>
    <w:rsid w:val="002419AF"/>
    <w:rsid w:val="002429E3"/>
    <w:rsid w:val="002553D6"/>
    <w:rsid w:val="00264346"/>
    <w:rsid w:val="002810D7"/>
    <w:rsid w:val="0028479E"/>
    <w:rsid w:val="002879C5"/>
    <w:rsid w:val="0029057B"/>
    <w:rsid w:val="002A0B80"/>
    <w:rsid w:val="002A26CA"/>
    <w:rsid w:val="002A43CF"/>
    <w:rsid w:val="002A507D"/>
    <w:rsid w:val="002B0762"/>
    <w:rsid w:val="002B164A"/>
    <w:rsid w:val="002B6C4F"/>
    <w:rsid w:val="002B7C8C"/>
    <w:rsid w:val="002C2D3E"/>
    <w:rsid w:val="002C4893"/>
    <w:rsid w:val="002C7A1F"/>
    <w:rsid w:val="002D2345"/>
    <w:rsid w:val="002D4387"/>
    <w:rsid w:val="0031306E"/>
    <w:rsid w:val="0031391E"/>
    <w:rsid w:val="00314F16"/>
    <w:rsid w:val="00317723"/>
    <w:rsid w:val="00322CC3"/>
    <w:rsid w:val="0033123C"/>
    <w:rsid w:val="0033659A"/>
    <w:rsid w:val="003405AF"/>
    <w:rsid w:val="0034243A"/>
    <w:rsid w:val="00345370"/>
    <w:rsid w:val="003539E2"/>
    <w:rsid w:val="0035489C"/>
    <w:rsid w:val="003563D2"/>
    <w:rsid w:val="003754D6"/>
    <w:rsid w:val="003765D5"/>
    <w:rsid w:val="003847B3"/>
    <w:rsid w:val="0038761D"/>
    <w:rsid w:val="003879B3"/>
    <w:rsid w:val="003A6FA2"/>
    <w:rsid w:val="003B0E50"/>
    <w:rsid w:val="003B52E5"/>
    <w:rsid w:val="003C00FA"/>
    <w:rsid w:val="003C0170"/>
    <w:rsid w:val="003C0DF1"/>
    <w:rsid w:val="003D3360"/>
    <w:rsid w:val="003E4FF4"/>
    <w:rsid w:val="003F29B2"/>
    <w:rsid w:val="003F60DE"/>
    <w:rsid w:val="003F6A07"/>
    <w:rsid w:val="003F7C3C"/>
    <w:rsid w:val="00403306"/>
    <w:rsid w:val="0042472C"/>
    <w:rsid w:val="0043261A"/>
    <w:rsid w:val="004426EB"/>
    <w:rsid w:val="00443B27"/>
    <w:rsid w:val="004448B4"/>
    <w:rsid w:val="0045490A"/>
    <w:rsid w:val="00454CBE"/>
    <w:rsid w:val="00461500"/>
    <w:rsid w:val="00464BD1"/>
    <w:rsid w:val="004753CE"/>
    <w:rsid w:val="0048558C"/>
    <w:rsid w:val="00490A25"/>
    <w:rsid w:val="00496633"/>
    <w:rsid w:val="004D452D"/>
    <w:rsid w:val="004D51DE"/>
    <w:rsid w:val="004E6C7A"/>
    <w:rsid w:val="004F0528"/>
    <w:rsid w:val="004F0E59"/>
    <w:rsid w:val="005000AA"/>
    <w:rsid w:val="00500B04"/>
    <w:rsid w:val="00507FEC"/>
    <w:rsid w:val="00533542"/>
    <w:rsid w:val="00551B64"/>
    <w:rsid w:val="00551D9E"/>
    <w:rsid w:val="00555E31"/>
    <w:rsid w:val="00562BC8"/>
    <w:rsid w:val="00582E51"/>
    <w:rsid w:val="005952EB"/>
    <w:rsid w:val="005A065F"/>
    <w:rsid w:val="005A1F75"/>
    <w:rsid w:val="005A22E2"/>
    <w:rsid w:val="005A5D1C"/>
    <w:rsid w:val="005B47B1"/>
    <w:rsid w:val="005B5489"/>
    <w:rsid w:val="005D4DA1"/>
    <w:rsid w:val="005E1E82"/>
    <w:rsid w:val="006023F1"/>
    <w:rsid w:val="0062682F"/>
    <w:rsid w:val="0063548E"/>
    <w:rsid w:val="006416FA"/>
    <w:rsid w:val="00645708"/>
    <w:rsid w:val="00650FCF"/>
    <w:rsid w:val="00652FAD"/>
    <w:rsid w:val="00654ACF"/>
    <w:rsid w:val="006658CC"/>
    <w:rsid w:val="00670785"/>
    <w:rsid w:val="00672DF0"/>
    <w:rsid w:val="00674FE8"/>
    <w:rsid w:val="0068580C"/>
    <w:rsid w:val="00690F7A"/>
    <w:rsid w:val="00691FA6"/>
    <w:rsid w:val="006A13FF"/>
    <w:rsid w:val="006B72B0"/>
    <w:rsid w:val="006C038D"/>
    <w:rsid w:val="006C038E"/>
    <w:rsid w:val="006C063A"/>
    <w:rsid w:val="006C53B2"/>
    <w:rsid w:val="006D39FE"/>
    <w:rsid w:val="006D4BF4"/>
    <w:rsid w:val="006F1CED"/>
    <w:rsid w:val="006F3761"/>
    <w:rsid w:val="00702C98"/>
    <w:rsid w:val="007117E7"/>
    <w:rsid w:val="00714706"/>
    <w:rsid w:val="00720CFD"/>
    <w:rsid w:val="00720DC9"/>
    <w:rsid w:val="00733CEC"/>
    <w:rsid w:val="00736858"/>
    <w:rsid w:val="0074530A"/>
    <w:rsid w:val="007455DF"/>
    <w:rsid w:val="00750244"/>
    <w:rsid w:val="00754865"/>
    <w:rsid w:val="00767517"/>
    <w:rsid w:val="007765DD"/>
    <w:rsid w:val="00787721"/>
    <w:rsid w:val="0079609A"/>
    <w:rsid w:val="007C158D"/>
    <w:rsid w:val="007C5CD3"/>
    <w:rsid w:val="007D50D1"/>
    <w:rsid w:val="007D7950"/>
    <w:rsid w:val="007F0CDC"/>
    <w:rsid w:val="007F4C74"/>
    <w:rsid w:val="00800F29"/>
    <w:rsid w:val="00806738"/>
    <w:rsid w:val="008258BB"/>
    <w:rsid w:val="008374B0"/>
    <w:rsid w:val="008436B6"/>
    <w:rsid w:val="0084749D"/>
    <w:rsid w:val="0085582A"/>
    <w:rsid w:val="00861EBD"/>
    <w:rsid w:val="00861EC0"/>
    <w:rsid w:val="00863EDD"/>
    <w:rsid w:val="0086720D"/>
    <w:rsid w:val="008817B6"/>
    <w:rsid w:val="00890BF1"/>
    <w:rsid w:val="008979A7"/>
    <w:rsid w:val="008A050A"/>
    <w:rsid w:val="008A0F6F"/>
    <w:rsid w:val="008A5ED1"/>
    <w:rsid w:val="008B0DF5"/>
    <w:rsid w:val="008B2377"/>
    <w:rsid w:val="008B4C82"/>
    <w:rsid w:val="008B5C59"/>
    <w:rsid w:val="008C3EAC"/>
    <w:rsid w:val="008C6C69"/>
    <w:rsid w:val="008C7586"/>
    <w:rsid w:val="008D668D"/>
    <w:rsid w:val="008F07D3"/>
    <w:rsid w:val="00903F1F"/>
    <w:rsid w:val="00904F46"/>
    <w:rsid w:val="0091135B"/>
    <w:rsid w:val="009154EF"/>
    <w:rsid w:val="00920101"/>
    <w:rsid w:val="0092130E"/>
    <w:rsid w:val="0092481D"/>
    <w:rsid w:val="00925A4A"/>
    <w:rsid w:val="00926652"/>
    <w:rsid w:val="00931F65"/>
    <w:rsid w:val="0094550B"/>
    <w:rsid w:val="0094574B"/>
    <w:rsid w:val="009468C8"/>
    <w:rsid w:val="009469A6"/>
    <w:rsid w:val="00947A14"/>
    <w:rsid w:val="00947FC9"/>
    <w:rsid w:val="009558A3"/>
    <w:rsid w:val="00961511"/>
    <w:rsid w:val="0096249E"/>
    <w:rsid w:val="00963623"/>
    <w:rsid w:val="00963BC7"/>
    <w:rsid w:val="009812EE"/>
    <w:rsid w:val="00982A76"/>
    <w:rsid w:val="009864AD"/>
    <w:rsid w:val="00986828"/>
    <w:rsid w:val="00987BF5"/>
    <w:rsid w:val="009A0472"/>
    <w:rsid w:val="009A0AF7"/>
    <w:rsid w:val="009A2F80"/>
    <w:rsid w:val="00A10D3B"/>
    <w:rsid w:val="00A11ABA"/>
    <w:rsid w:val="00A11BDF"/>
    <w:rsid w:val="00A12FE7"/>
    <w:rsid w:val="00A16297"/>
    <w:rsid w:val="00A264F1"/>
    <w:rsid w:val="00A35F1B"/>
    <w:rsid w:val="00A43B97"/>
    <w:rsid w:val="00A468E0"/>
    <w:rsid w:val="00A55A03"/>
    <w:rsid w:val="00A703AB"/>
    <w:rsid w:val="00A70D04"/>
    <w:rsid w:val="00A7615A"/>
    <w:rsid w:val="00A83B45"/>
    <w:rsid w:val="00A9057F"/>
    <w:rsid w:val="00A907D1"/>
    <w:rsid w:val="00A90C5F"/>
    <w:rsid w:val="00A9481B"/>
    <w:rsid w:val="00AA1F30"/>
    <w:rsid w:val="00AB1AE3"/>
    <w:rsid w:val="00AB6CA5"/>
    <w:rsid w:val="00AC6F12"/>
    <w:rsid w:val="00AD0706"/>
    <w:rsid w:val="00AE1BDE"/>
    <w:rsid w:val="00AE290E"/>
    <w:rsid w:val="00AF368B"/>
    <w:rsid w:val="00AF4482"/>
    <w:rsid w:val="00AF630D"/>
    <w:rsid w:val="00B0022E"/>
    <w:rsid w:val="00B01D66"/>
    <w:rsid w:val="00B02B09"/>
    <w:rsid w:val="00B03455"/>
    <w:rsid w:val="00B042CB"/>
    <w:rsid w:val="00B16DEF"/>
    <w:rsid w:val="00B25108"/>
    <w:rsid w:val="00B271D2"/>
    <w:rsid w:val="00B371CD"/>
    <w:rsid w:val="00B4226E"/>
    <w:rsid w:val="00B50E45"/>
    <w:rsid w:val="00B5596F"/>
    <w:rsid w:val="00B7553A"/>
    <w:rsid w:val="00B76467"/>
    <w:rsid w:val="00B80237"/>
    <w:rsid w:val="00B873D3"/>
    <w:rsid w:val="00BA1246"/>
    <w:rsid w:val="00BB28D2"/>
    <w:rsid w:val="00BB7FD6"/>
    <w:rsid w:val="00BC7FAA"/>
    <w:rsid w:val="00BD6B73"/>
    <w:rsid w:val="00BE569F"/>
    <w:rsid w:val="00C01740"/>
    <w:rsid w:val="00C03DC2"/>
    <w:rsid w:val="00C07491"/>
    <w:rsid w:val="00C121D3"/>
    <w:rsid w:val="00C15346"/>
    <w:rsid w:val="00C2202C"/>
    <w:rsid w:val="00C247C5"/>
    <w:rsid w:val="00C3319E"/>
    <w:rsid w:val="00C43061"/>
    <w:rsid w:val="00C45290"/>
    <w:rsid w:val="00C46257"/>
    <w:rsid w:val="00C47889"/>
    <w:rsid w:val="00C52DF6"/>
    <w:rsid w:val="00C5626D"/>
    <w:rsid w:val="00C603D7"/>
    <w:rsid w:val="00C649E9"/>
    <w:rsid w:val="00C65635"/>
    <w:rsid w:val="00C727A8"/>
    <w:rsid w:val="00C72B56"/>
    <w:rsid w:val="00C74E32"/>
    <w:rsid w:val="00C7634F"/>
    <w:rsid w:val="00C81876"/>
    <w:rsid w:val="00C91019"/>
    <w:rsid w:val="00C92088"/>
    <w:rsid w:val="00C95527"/>
    <w:rsid w:val="00C96FAA"/>
    <w:rsid w:val="00CA1A6C"/>
    <w:rsid w:val="00CA2A69"/>
    <w:rsid w:val="00CA48D0"/>
    <w:rsid w:val="00CB279E"/>
    <w:rsid w:val="00CB4C1B"/>
    <w:rsid w:val="00CB65C8"/>
    <w:rsid w:val="00CC0A2F"/>
    <w:rsid w:val="00CC41F7"/>
    <w:rsid w:val="00CD5ADF"/>
    <w:rsid w:val="00CD5F5F"/>
    <w:rsid w:val="00CE6CAC"/>
    <w:rsid w:val="00D12381"/>
    <w:rsid w:val="00D32E67"/>
    <w:rsid w:val="00D32F3E"/>
    <w:rsid w:val="00D35D49"/>
    <w:rsid w:val="00D45E26"/>
    <w:rsid w:val="00D4738D"/>
    <w:rsid w:val="00D60BFA"/>
    <w:rsid w:val="00D6152C"/>
    <w:rsid w:val="00D716B2"/>
    <w:rsid w:val="00D726E3"/>
    <w:rsid w:val="00D758C8"/>
    <w:rsid w:val="00D76513"/>
    <w:rsid w:val="00D80FE1"/>
    <w:rsid w:val="00D81A0E"/>
    <w:rsid w:val="00D86CDA"/>
    <w:rsid w:val="00DA434F"/>
    <w:rsid w:val="00DA68EC"/>
    <w:rsid w:val="00DB4AE5"/>
    <w:rsid w:val="00DD1709"/>
    <w:rsid w:val="00DD1800"/>
    <w:rsid w:val="00DE005F"/>
    <w:rsid w:val="00DE462A"/>
    <w:rsid w:val="00DE7790"/>
    <w:rsid w:val="00DF2681"/>
    <w:rsid w:val="00E00AB3"/>
    <w:rsid w:val="00E01CD4"/>
    <w:rsid w:val="00E0695F"/>
    <w:rsid w:val="00E12D45"/>
    <w:rsid w:val="00E24916"/>
    <w:rsid w:val="00E30C63"/>
    <w:rsid w:val="00E41589"/>
    <w:rsid w:val="00E446D6"/>
    <w:rsid w:val="00E447C1"/>
    <w:rsid w:val="00E477E7"/>
    <w:rsid w:val="00E50488"/>
    <w:rsid w:val="00E74B73"/>
    <w:rsid w:val="00E75173"/>
    <w:rsid w:val="00E77C89"/>
    <w:rsid w:val="00E80153"/>
    <w:rsid w:val="00E806AF"/>
    <w:rsid w:val="00E83C12"/>
    <w:rsid w:val="00E842E8"/>
    <w:rsid w:val="00E8656E"/>
    <w:rsid w:val="00E91F01"/>
    <w:rsid w:val="00E92945"/>
    <w:rsid w:val="00EA0D0F"/>
    <w:rsid w:val="00EA2054"/>
    <w:rsid w:val="00EA2D0A"/>
    <w:rsid w:val="00EB0BA1"/>
    <w:rsid w:val="00EB108F"/>
    <w:rsid w:val="00EC38D3"/>
    <w:rsid w:val="00ED1FC4"/>
    <w:rsid w:val="00ED2049"/>
    <w:rsid w:val="00ED2820"/>
    <w:rsid w:val="00ED52F8"/>
    <w:rsid w:val="00EF5994"/>
    <w:rsid w:val="00F11B92"/>
    <w:rsid w:val="00F25537"/>
    <w:rsid w:val="00F27920"/>
    <w:rsid w:val="00F314A9"/>
    <w:rsid w:val="00F37389"/>
    <w:rsid w:val="00F37485"/>
    <w:rsid w:val="00F4474B"/>
    <w:rsid w:val="00F63EB4"/>
    <w:rsid w:val="00F6412E"/>
    <w:rsid w:val="00F650EA"/>
    <w:rsid w:val="00F70F7E"/>
    <w:rsid w:val="00F73914"/>
    <w:rsid w:val="00F768D1"/>
    <w:rsid w:val="00F8675F"/>
    <w:rsid w:val="00FA09F8"/>
    <w:rsid w:val="00FB1C9B"/>
    <w:rsid w:val="00FB380F"/>
    <w:rsid w:val="00FB3811"/>
    <w:rsid w:val="00FC27E3"/>
    <w:rsid w:val="00FC3409"/>
    <w:rsid w:val="00FC6D9C"/>
    <w:rsid w:val="00FD2381"/>
    <w:rsid w:val="00FD574B"/>
    <w:rsid w:val="00FD7ACB"/>
    <w:rsid w:val="00FE34B2"/>
    <w:rsid w:val="00FE3B5D"/>
    <w:rsid w:val="00FE58F9"/>
    <w:rsid w:val="00FF38EB"/>
    <w:rsid w:val="00FF7A3A"/>
    <w:rsid w:val="00FF7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F0A2"/>
  <w15:chartTrackingRefBased/>
  <w15:docId w15:val="{EB3A5D8B-373B-404B-8564-3E498EB9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05AF"/>
    <w:pPr>
      <w:spacing w:after="40"/>
    </w:pPr>
    <w:rPr>
      <w:rFonts w:asciiTheme="minorHAnsi" w:hAnsiTheme="minorHAnsi"/>
      <w:szCs w:val="22"/>
    </w:rPr>
  </w:style>
  <w:style w:type="paragraph" w:styleId="Heading1">
    <w:name w:val="heading 1"/>
    <w:aliases w:val="FSA Heading 1"/>
    <w:basedOn w:val="Normal"/>
    <w:next w:val="Normal"/>
    <w:link w:val="Heading1Char"/>
    <w:uiPriority w:val="9"/>
    <w:qFormat/>
    <w:rsid w:val="00F63EB4"/>
    <w:pPr>
      <w:keepNext/>
      <w:keepLines/>
      <w:numPr>
        <w:numId w:val="8"/>
      </w:numPr>
      <w:spacing w:after="0" w:line="300" w:lineRule="auto"/>
      <w:outlineLvl w:val="0"/>
    </w:pPr>
    <w:rPr>
      <w:rFonts w:eastAsiaTheme="majorEastAsia" w:cstheme="majorBidi"/>
      <w:b/>
      <w:color w:val="005782"/>
      <w:sz w:val="32"/>
      <w:szCs w:val="32"/>
    </w:rPr>
  </w:style>
  <w:style w:type="paragraph" w:styleId="Heading2">
    <w:name w:val="heading 2"/>
    <w:aliases w:val="FSA Heading 2"/>
    <w:basedOn w:val="Normal"/>
    <w:next w:val="Normal"/>
    <w:link w:val="Heading2Char"/>
    <w:uiPriority w:val="9"/>
    <w:unhideWhenUsed/>
    <w:qFormat/>
    <w:rsid w:val="00F63EB4"/>
    <w:pPr>
      <w:keepNext/>
      <w:keepLines/>
      <w:numPr>
        <w:ilvl w:val="1"/>
        <w:numId w:val="8"/>
      </w:numPr>
      <w:spacing w:before="40" w:after="0" w:line="300" w:lineRule="auto"/>
      <w:outlineLvl w:val="1"/>
    </w:pPr>
    <w:rPr>
      <w:rFonts w:eastAsiaTheme="majorEastAsia" w:cstheme="majorBidi"/>
      <w:b/>
      <w:color w:val="005782"/>
      <w:sz w:val="28"/>
      <w:szCs w:val="26"/>
    </w:rPr>
  </w:style>
  <w:style w:type="paragraph" w:styleId="Heading3">
    <w:name w:val="heading 3"/>
    <w:aliases w:val="FSA Heading 3"/>
    <w:basedOn w:val="Normal"/>
    <w:next w:val="Normal"/>
    <w:link w:val="Heading3Char"/>
    <w:uiPriority w:val="9"/>
    <w:unhideWhenUsed/>
    <w:qFormat/>
    <w:rsid w:val="00F63EB4"/>
    <w:pPr>
      <w:keepNext/>
      <w:keepLines/>
      <w:numPr>
        <w:ilvl w:val="2"/>
        <w:numId w:val="8"/>
      </w:numPr>
      <w:spacing w:before="40" w:after="0" w:line="300" w:lineRule="auto"/>
      <w:outlineLvl w:val="2"/>
    </w:pPr>
    <w:rPr>
      <w:rFonts w:eastAsiaTheme="majorEastAsia" w:cstheme="majorBidi"/>
      <w:b/>
      <w:color w:val="005782"/>
      <w:szCs w:val="24"/>
    </w:rPr>
  </w:style>
  <w:style w:type="paragraph" w:styleId="Heading4">
    <w:name w:val="heading 4"/>
    <w:basedOn w:val="Normal"/>
    <w:next w:val="Normal"/>
    <w:link w:val="Heading4Char"/>
    <w:uiPriority w:val="9"/>
    <w:semiHidden/>
    <w:unhideWhenUsed/>
    <w:qFormat/>
    <w:rsid w:val="0033123C"/>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3123C"/>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3123C"/>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3123C"/>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3123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123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4EF"/>
    <w:rPr>
      <w:rFonts w:asciiTheme="minorHAnsi" w:hAnsiTheme="minorHAnsi"/>
      <w:sz w:val="22"/>
      <w:szCs w:val="22"/>
    </w:rPr>
  </w:style>
  <w:style w:type="paragraph" w:styleId="Footer">
    <w:name w:val="footer"/>
    <w:basedOn w:val="Normal"/>
    <w:link w:val="FooterChar"/>
    <w:uiPriority w:val="99"/>
    <w:unhideWhenUsed/>
    <w:rsid w:val="00915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4EF"/>
    <w:rPr>
      <w:rFonts w:asciiTheme="minorHAnsi" w:hAnsiTheme="minorHAnsi"/>
      <w:sz w:val="22"/>
      <w:szCs w:val="22"/>
    </w:rPr>
  </w:style>
  <w:style w:type="character" w:styleId="Hyperlink">
    <w:name w:val="Hyperlink"/>
    <w:basedOn w:val="DefaultParagraphFont"/>
    <w:uiPriority w:val="99"/>
    <w:unhideWhenUsed/>
    <w:rsid w:val="009154EF"/>
    <w:rPr>
      <w:color w:val="0563C1"/>
      <w:u w:val="single"/>
    </w:rPr>
  </w:style>
  <w:style w:type="paragraph" w:styleId="ListParagraph">
    <w:name w:val="List Paragraph"/>
    <w:basedOn w:val="Normal"/>
    <w:uiPriority w:val="34"/>
    <w:qFormat/>
    <w:rsid w:val="009154EF"/>
    <w:pPr>
      <w:ind w:left="720"/>
      <w:contextualSpacing/>
    </w:pPr>
  </w:style>
  <w:style w:type="paragraph" w:customStyle="1" w:styleId="Default">
    <w:name w:val="Default"/>
    <w:rsid w:val="00654ACF"/>
    <w:pPr>
      <w:autoSpaceDE w:val="0"/>
      <w:autoSpaceDN w:val="0"/>
      <w:adjustRightInd w:val="0"/>
      <w:spacing w:after="0" w:line="240" w:lineRule="auto"/>
    </w:pPr>
    <w:rPr>
      <w:rFonts w:ascii="Arial" w:hAnsi="Arial" w:cs="Arial"/>
      <w:color w:val="000000"/>
    </w:rPr>
  </w:style>
  <w:style w:type="paragraph" w:styleId="BalloonText">
    <w:name w:val="Balloon Text"/>
    <w:basedOn w:val="Normal"/>
    <w:link w:val="BalloonTextChar"/>
    <w:uiPriority w:val="99"/>
    <w:semiHidden/>
    <w:unhideWhenUsed/>
    <w:rsid w:val="00796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09A"/>
    <w:rPr>
      <w:rFonts w:ascii="Segoe UI" w:hAnsi="Segoe UI" w:cs="Segoe UI"/>
      <w:sz w:val="18"/>
      <w:szCs w:val="18"/>
    </w:rPr>
  </w:style>
  <w:style w:type="paragraph" w:customStyle="1" w:styleId="HeadingFSA">
    <w:name w:val="Heading FSA"/>
    <w:basedOn w:val="Normal"/>
    <w:link w:val="HeadingFSAChar"/>
    <w:rsid w:val="00AB1AE3"/>
    <w:pPr>
      <w:spacing w:before="120" w:after="120" w:line="276" w:lineRule="auto"/>
    </w:pPr>
    <w:rPr>
      <w:rFonts w:ascii="Calibri" w:hAnsi="Calibri"/>
      <w:b/>
      <w:sz w:val="28"/>
      <w:szCs w:val="28"/>
    </w:rPr>
  </w:style>
  <w:style w:type="character" w:customStyle="1" w:styleId="HeadingFSAChar">
    <w:name w:val="Heading FSA Char"/>
    <w:basedOn w:val="DefaultParagraphFont"/>
    <w:link w:val="HeadingFSA"/>
    <w:rsid w:val="00AB1AE3"/>
    <w:rPr>
      <w:b/>
      <w:sz w:val="28"/>
      <w:szCs w:val="28"/>
    </w:rPr>
  </w:style>
  <w:style w:type="paragraph" w:customStyle="1" w:styleId="FSACoverSheetMainTitle">
    <w:name w:val="FSA Cover Sheet Main Title"/>
    <w:basedOn w:val="Normal"/>
    <w:qFormat/>
    <w:rsid w:val="00F63EB4"/>
    <w:pPr>
      <w:jc w:val="center"/>
    </w:pPr>
    <w:rPr>
      <w:rFonts w:ascii="Calibri" w:hAnsi="Calibri"/>
      <w:b/>
      <w:color w:val="005782"/>
      <w:sz w:val="52"/>
      <w:szCs w:val="52"/>
    </w:rPr>
  </w:style>
  <w:style w:type="paragraph" w:customStyle="1" w:styleId="FSACoverSheetSub-title">
    <w:name w:val="FSA Cover Sheet Sub-title"/>
    <w:basedOn w:val="Normal"/>
    <w:qFormat/>
    <w:rsid w:val="00F63EB4"/>
    <w:pPr>
      <w:jc w:val="center"/>
    </w:pPr>
    <w:rPr>
      <w:rFonts w:ascii="Calibri" w:hAnsi="Calibri"/>
      <w:b/>
      <w:color w:val="005782"/>
      <w:sz w:val="44"/>
      <w:szCs w:val="44"/>
    </w:rPr>
  </w:style>
  <w:style w:type="paragraph" w:customStyle="1" w:styleId="FSACoverSheetdocumentdate">
    <w:name w:val="FSA Cover Sheet document date"/>
    <w:basedOn w:val="Normal"/>
    <w:qFormat/>
    <w:rsid w:val="00F63EB4"/>
    <w:pPr>
      <w:jc w:val="center"/>
    </w:pPr>
    <w:rPr>
      <w:rFonts w:ascii="Calibri" w:hAnsi="Calibri"/>
      <w:b/>
      <w:color w:val="005782"/>
      <w:sz w:val="40"/>
      <w:szCs w:val="40"/>
    </w:rPr>
  </w:style>
  <w:style w:type="paragraph" w:customStyle="1" w:styleId="FSADocumentMainHeading">
    <w:name w:val="FSA Document Main Heading"/>
    <w:basedOn w:val="Normal"/>
    <w:rsid w:val="00691FA6"/>
    <w:pPr>
      <w:spacing w:before="120" w:after="120" w:line="276" w:lineRule="auto"/>
    </w:pPr>
    <w:rPr>
      <w:rFonts w:ascii="Calibri" w:hAnsi="Calibri"/>
      <w:b/>
      <w:color w:val="775431"/>
      <w:sz w:val="32"/>
      <w:szCs w:val="32"/>
    </w:rPr>
  </w:style>
  <w:style w:type="paragraph" w:customStyle="1" w:styleId="FSADocumentSub-Heading">
    <w:name w:val="FSA Document Sub-Heading"/>
    <w:basedOn w:val="HeadingFSA"/>
    <w:rsid w:val="00691FA6"/>
    <w:pPr>
      <w:spacing w:before="0" w:after="0"/>
    </w:pPr>
    <w:rPr>
      <w:color w:val="775431"/>
    </w:rPr>
  </w:style>
  <w:style w:type="paragraph" w:styleId="NoSpacing">
    <w:name w:val="No Spacing"/>
    <w:uiPriority w:val="1"/>
    <w:rsid w:val="003405AF"/>
    <w:pPr>
      <w:spacing w:after="0" w:line="240" w:lineRule="auto"/>
    </w:pPr>
    <w:rPr>
      <w:rFonts w:asciiTheme="minorHAnsi" w:hAnsiTheme="minorHAnsi"/>
      <w:sz w:val="22"/>
      <w:szCs w:val="22"/>
    </w:rPr>
  </w:style>
  <w:style w:type="paragraph" w:customStyle="1" w:styleId="FSADocumentText">
    <w:name w:val="FSA Document Text"/>
    <w:basedOn w:val="Default"/>
    <w:qFormat/>
    <w:rsid w:val="00F63EB4"/>
    <w:pPr>
      <w:jc w:val="both"/>
    </w:pPr>
    <w:rPr>
      <w:rFonts w:asciiTheme="minorHAnsi" w:hAnsiTheme="minorHAnsi"/>
    </w:rPr>
  </w:style>
  <w:style w:type="paragraph" w:customStyle="1" w:styleId="FSAPageNumber">
    <w:name w:val="FSA Page Number"/>
    <w:basedOn w:val="Footer"/>
    <w:qFormat/>
    <w:rsid w:val="003405AF"/>
    <w:rPr>
      <w:color w:val="636466"/>
      <w:sz w:val="20"/>
      <w:szCs w:val="20"/>
    </w:rPr>
  </w:style>
  <w:style w:type="character" w:customStyle="1" w:styleId="Heading1Char">
    <w:name w:val="Heading 1 Char"/>
    <w:aliases w:val="FSA Heading 1 Char"/>
    <w:basedOn w:val="DefaultParagraphFont"/>
    <w:link w:val="Heading1"/>
    <w:uiPriority w:val="9"/>
    <w:rsid w:val="00F63EB4"/>
    <w:rPr>
      <w:rFonts w:asciiTheme="minorHAnsi" w:eastAsiaTheme="majorEastAsia" w:hAnsiTheme="minorHAnsi" w:cstheme="majorBidi"/>
      <w:b/>
      <w:color w:val="005782"/>
      <w:sz w:val="32"/>
      <w:szCs w:val="32"/>
    </w:rPr>
  </w:style>
  <w:style w:type="character" w:customStyle="1" w:styleId="Heading2Char">
    <w:name w:val="Heading 2 Char"/>
    <w:aliases w:val="FSA Heading 2 Char"/>
    <w:basedOn w:val="DefaultParagraphFont"/>
    <w:link w:val="Heading2"/>
    <w:uiPriority w:val="9"/>
    <w:rsid w:val="00F63EB4"/>
    <w:rPr>
      <w:rFonts w:asciiTheme="minorHAnsi" w:eastAsiaTheme="majorEastAsia" w:hAnsiTheme="minorHAnsi" w:cstheme="majorBidi"/>
      <w:b/>
      <w:color w:val="005782"/>
      <w:sz w:val="28"/>
      <w:szCs w:val="26"/>
    </w:rPr>
  </w:style>
  <w:style w:type="character" w:customStyle="1" w:styleId="Heading3Char">
    <w:name w:val="Heading 3 Char"/>
    <w:aliases w:val="FSA Heading 3 Char"/>
    <w:basedOn w:val="DefaultParagraphFont"/>
    <w:link w:val="Heading3"/>
    <w:uiPriority w:val="9"/>
    <w:rsid w:val="00F63EB4"/>
    <w:rPr>
      <w:rFonts w:asciiTheme="minorHAnsi" w:eastAsiaTheme="majorEastAsia" w:hAnsiTheme="minorHAnsi" w:cstheme="majorBidi"/>
      <w:b/>
      <w:color w:val="005782"/>
    </w:rPr>
  </w:style>
  <w:style w:type="paragraph" w:styleId="TOCHeading">
    <w:name w:val="TOC Heading"/>
    <w:basedOn w:val="Heading1"/>
    <w:next w:val="Normal"/>
    <w:uiPriority w:val="39"/>
    <w:unhideWhenUsed/>
    <w:qFormat/>
    <w:rsid w:val="0033123C"/>
    <w:pPr>
      <w:numPr>
        <w:numId w:val="0"/>
      </w:numPr>
      <w:spacing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33123C"/>
    <w:pPr>
      <w:spacing w:after="100"/>
    </w:pPr>
  </w:style>
  <w:style w:type="paragraph" w:styleId="TOC2">
    <w:name w:val="toc 2"/>
    <w:basedOn w:val="Normal"/>
    <w:next w:val="Normal"/>
    <w:autoRedefine/>
    <w:uiPriority w:val="39"/>
    <w:unhideWhenUsed/>
    <w:rsid w:val="0033123C"/>
    <w:pPr>
      <w:spacing w:after="100"/>
      <w:ind w:left="240"/>
    </w:pPr>
  </w:style>
  <w:style w:type="character" w:customStyle="1" w:styleId="Heading4Char">
    <w:name w:val="Heading 4 Char"/>
    <w:basedOn w:val="DefaultParagraphFont"/>
    <w:link w:val="Heading4"/>
    <w:uiPriority w:val="9"/>
    <w:semiHidden/>
    <w:rsid w:val="0033123C"/>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uiPriority w:val="9"/>
    <w:semiHidden/>
    <w:rsid w:val="0033123C"/>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uiPriority w:val="9"/>
    <w:semiHidden/>
    <w:rsid w:val="0033123C"/>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uiPriority w:val="9"/>
    <w:semiHidden/>
    <w:rsid w:val="0033123C"/>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uiPriority w:val="9"/>
    <w:semiHidden/>
    <w:rsid w:val="003312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123C"/>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FD2381"/>
    <w:pPr>
      <w:spacing w:after="100"/>
      <w:ind w:left="480"/>
    </w:pPr>
  </w:style>
  <w:style w:type="table" w:styleId="TableGrid">
    <w:name w:val="Table Grid"/>
    <w:basedOn w:val="TableNormal"/>
    <w:uiPriority w:val="39"/>
    <w:rsid w:val="00C1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qFormat/>
    <w:rsid w:val="00863EDD"/>
    <w:pPr>
      <w:spacing w:after="0" w:line="276" w:lineRule="auto"/>
    </w:pPr>
    <w:rPr>
      <w:rFonts w:ascii="Calibri" w:hAnsi="Calibri"/>
      <w:lang w:eastAsia="en-GB"/>
    </w:rPr>
  </w:style>
  <w:style w:type="table" w:styleId="PlainTable2">
    <w:name w:val="Plain Table 2"/>
    <w:basedOn w:val="TableNormal"/>
    <w:uiPriority w:val="42"/>
    <w:rsid w:val="00863EDD"/>
    <w:pPr>
      <w:spacing w:after="0" w:line="240" w:lineRule="auto"/>
    </w:pPr>
    <w:rPr>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43261A"/>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43261A"/>
    <w:rPr>
      <w:sz w:val="20"/>
      <w:szCs w:val="20"/>
    </w:rPr>
  </w:style>
  <w:style w:type="character" w:styleId="FootnoteReference">
    <w:name w:val="footnote reference"/>
    <w:basedOn w:val="DefaultParagraphFont"/>
    <w:uiPriority w:val="99"/>
    <w:unhideWhenUsed/>
    <w:rsid w:val="0043261A"/>
    <w:rPr>
      <w:vertAlign w:val="superscript"/>
    </w:rPr>
  </w:style>
  <w:style w:type="character" w:styleId="FollowedHyperlink">
    <w:name w:val="FollowedHyperlink"/>
    <w:basedOn w:val="DefaultParagraphFont"/>
    <w:uiPriority w:val="99"/>
    <w:semiHidden/>
    <w:unhideWhenUsed/>
    <w:rsid w:val="0068580C"/>
    <w:rPr>
      <w:color w:val="954F72" w:themeColor="followedHyperlink"/>
      <w:u w:val="single"/>
    </w:rPr>
  </w:style>
  <w:style w:type="paragraph" w:styleId="Revision">
    <w:name w:val="Revision"/>
    <w:hidden/>
    <w:uiPriority w:val="99"/>
    <w:semiHidden/>
    <w:rsid w:val="00EF5994"/>
    <w:pPr>
      <w:spacing w:after="0" w:line="240" w:lineRule="auto"/>
    </w:pPr>
    <w:rPr>
      <w:rFonts w:asciiTheme="minorHAnsi" w:hAnsiTheme="minorHAnsi"/>
      <w:szCs w:val="22"/>
    </w:rPr>
  </w:style>
  <w:style w:type="character" w:styleId="CommentReference">
    <w:name w:val="annotation reference"/>
    <w:basedOn w:val="DefaultParagraphFont"/>
    <w:uiPriority w:val="99"/>
    <w:semiHidden/>
    <w:unhideWhenUsed/>
    <w:rsid w:val="00AF4482"/>
    <w:rPr>
      <w:sz w:val="16"/>
      <w:szCs w:val="16"/>
    </w:rPr>
  </w:style>
  <w:style w:type="paragraph" w:styleId="CommentText">
    <w:name w:val="annotation text"/>
    <w:basedOn w:val="Normal"/>
    <w:link w:val="CommentTextChar"/>
    <w:uiPriority w:val="99"/>
    <w:unhideWhenUsed/>
    <w:rsid w:val="00AF4482"/>
    <w:pPr>
      <w:spacing w:line="240" w:lineRule="auto"/>
    </w:pPr>
    <w:rPr>
      <w:sz w:val="20"/>
      <w:szCs w:val="20"/>
    </w:rPr>
  </w:style>
  <w:style w:type="character" w:customStyle="1" w:styleId="CommentTextChar">
    <w:name w:val="Comment Text Char"/>
    <w:basedOn w:val="DefaultParagraphFont"/>
    <w:link w:val="CommentText"/>
    <w:uiPriority w:val="99"/>
    <w:rsid w:val="00AF448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AF4482"/>
    <w:rPr>
      <w:b/>
      <w:bCs/>
    </w:rPr>
  </w:style>
  <w:style w:type="character" w:customStyle="1" w:styleId="CommentSubjectChar">
    <w:name w:val="Comment Subject Char"/>
    <w:basedOn w:val="CommentTextChar"/>
    <w:link w:val="CommentSubject"/>
    <w:uiPriority w:val="99"/>
    <w:semiHidden/>
    <w:rsid w:val="00AF4482"/>
    <w:rPr>
      <w:rFonts w:asciiTheme="minorHAnsi" w:hAnsiTheme="minorHAnsi"/>
      <w:b/>
      <w:bCs/>
      <w:sz w:val="20"/>
      <w:szCs w:val="20"/>
    </w:rPr>
  </w:style>
  <w:style w:type="character" w:styleId="UnresolvedMention">
    <w:name w:val="Unresolved Mention"/>
    <w:basedOn w:val="DefaultParagraphFont"/>
    <w:uiPriority w:val="99"/>
    <w:semiHidden/>
    <w:unhideWhenUsed/>
    <w:rsid w:val="00490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omfsa.im/media/3439/discussion-paper-lcr.pdf" TargetMode="External"/><Relationship Id="rId18" Type="http://schemas.openxmlformats.org/officeDocument/2006/relationships/hyperlink" Target="mailto:andrew.kermode@iomfsa.i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iomfsa.im/terms-conditions/privacy-notice/" TargetMode="External"/><Relationship Id="rId34" Type="http://schemas.openxmlformats.org/officeDocument/2006/relationships/package" Target="embeddings/Microsoft_Word_Document.doc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omfsa.im/media/3351/basel-iii-liquidity-roadmap.pdf" TargetMode="External"/><Relationship Id="rId25" Type="http://schemas.openxmlformats.org/officeDocument/2006/relationships/header" Target="header1.xml"/><Relationship Id="rId33"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iomfsa.im/media/3351/basel-iii-liquidity-roadmap.pdf" TargetMode="External"/><Relationship Id="rId20" Type="http://schemas.openxmlformats.org/officeDocument/2006/relationships/hyperlink" Target="https://www.iomfsa.im/terms-conditions/privacy-notic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omfsa.im/media/1470/financialservicesrulebook20131.pdf" TargetMode="External"/><Relationship Id="rId32"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hyperlink" Target="https://www.iomfsa.im/media/3351/basel-iii-liquidity-roadmap.pdf" TargetMode="External"/><Relationship Id="rId23" Type="http://schemas.openxmlformats.org/officeDocument/2006/relationships/hyperlink" Target="https://www.iomfsa.im/media/1470/financialservicesrulebook20131.pdf"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Policy@iomfsa.im" TargetMode="External"/><Relationship Id="rId31"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is.org/basel_framework/standard/NSF.htm" TargetMode="External"/><Relationship Id="rId22" Type="http://schemas.openxmlformats.org/officeDocument/2006/relationships/hyperlink" Target="https://www.iomfsa.im/media/1470/financialservicesrulebook20131.pdf"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iomfsa.im/terms-conditions/privacy-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_x0020_Owner xmlns="94f020f8-5d01-461d-8056-85bd07e0ced7">
      <UserInfo>
        <DisplayName>Kermode, Andrew (IOMFSA)</DisplayName>
        <AccountId>81</AccountId>
        <AccountType/>
      </UserInfo>
    </Document_x0020_Owner>
    <Document_x0020_Description xmlns="94f020f8-5d01-461d-8056-85bd07e0ced7" xsi:nil="true"/>
    <Document_x0020_Sensitivity xmlns="94f020f8-5d01-461d-8056-85bd07e0ced7">Internal</Document_x0020_Sensitivity>
  </documentManagement>
</p:properties>
</file>

<file path=customXml/item5.xml><?xml version="1.0" encoding="utf-8"?>
<ct:contentTypeSchema xmlns:ct="http://schemas.microsoft.com/office/2006/metadata/contentType" xmlns:ma="http://schemas.microsoft.com/office/2006/metadata/properties/metaAttributes" ct:_="" ma:_="" ma:contentTypeName="FSA Standard Document" ma:contentTypeID="0x0101000BE923759A44954D856837249B59CDE81F00CCA205DB7D768A42B014D36660696A4D" ma:contentTypeVersion="2" ma:contentTypeDescription="Document template for FSA documents with no cover sheet" ma:contentTypeScope="" ma:versionID="f9b7bbaa1c09e9df55d73abbf220b48c">
  <xsd:schema xmlns:xsd="http://www.w3.org/2001/XMLSchema" xmlns:xs="http://www.w3.org/2001/XMLSchema" xmlns:p="http://schemas.microsoft.com/office/2006/metadata/properties" xmlns:ns3="94f020f8-5d01-461d-8056-85bd07e0ced7" targetNamespace="http://schemas.microsoft.com/office/2006/metadata/properties" ma:root="true" ma:fieldsID="b6f109c452ead06b9fa249d9cbacb11d" ns3:_="">
    <xsd:import namespace="94f020f8-5d01-461d-8056-85bd07e0ced7"/>
    <xsd:element name="properties">
      <xsd:complexType>
        <xsd:sequence>
          <xsd:element name="documentManagement">
            <xsd:complexType>
              <xsd:all>
                <xsd:element ref="ns3:Document_x0020_Description" minOccurs="0"/>
                <xsd:element ref="ns3:Document_x0020_Owner" minOccurs="0"/>
                <xsd:element ref="ns3:Document_x0020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020f8-5d01-461d-8056-85bd07e0ced7" elementFormDefault="qualified">
    <xsd:import namespace="http://schemas.microsoft.com/office/2006/documentManagement/types"/>
    <xsd:import namespace="http://schemas.microsoft.com/office/infopath/2007/PartnerControls"/>
    <xsd:element name="Document_x0020_Description" ma:index="9" nillable="true" ma:displayName="Document Description" ma:internalName="Document_x0020_Description" ma:readOnly="false">
      <xsd:simpleType>
        <xsd:restriction base="dms:Note">
          <xsd:maxLength value="255"/>
        </xsd:restriction>
      </xsd:simpleType>
    </xsd:element>
    <xsd:element name="Document_x0020_Owner" ma:index="10"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ensitivity" ma:index="11" nillable="true" ma:displayName="Document Sensitivity" ma:default="Internal" ma:description="Government Information Security Best Practise Settings" ma:format="Dropdown" ma:internalName="Document_x0020_Sensitivity" ma:readOnly="false">
      <xsd:simpleType>
        <xsd:restriction base="dms:Choice">
          <xsd:enumeration value="Open"/>
          <xsd:enumeration value="Internal"/>
          <xsd:enumeration value="Sensitive"/>
          <xsd:enumeration value="Restricted"/>
          <xsd:enumeration value="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F650A2-F35E-4C80-82BD-C25B23F1F835}">
  <ds:schemaRefs>
    <ds:schemaRef ds:uri="http://schemas.microsoft.com/office/2006/metadata/customXsn"/>
  </ds:schemaRefs>
</ds:datastoreItem>
</file>

<file path=customXml/itemProps2.xml><?xml version="1.0" encoding="utf-8"?>
<ds:datastoreItem xmlns:ds="http://schemas.openxmlformats.org/officeDocument/2006/customXml" ds:itemID="{CCA9D89E-6E9D-4CF3-9DA4-E91AC04B05CB}">
  <ds:schemaRefs>
    <ds:schemaRef ds:uri="http://schemas.microsoft.com/sharepoint/v3/contenttype/forms"/>
  </ds:schemaRefs>
</ds:datastoreItem>
</file>

<file path=customXml/itemProps3.xml><?xml version="1.0" encoding="utf-8"?>
<ds:datastoreItem xmlns:ds="http://schemas.openxmlformats.org/officeDocument/2006/customXml" ds:itemID="{4769C1F3-A72F-4FE3-A1A7-A2FD0B0EC431}">
  <ds:schemaRefs>
    <ds:schemaRef ds:uri="http://schemas.openxmlformats.org/officeDocument/2006/bibliography"/>
  </ds:schemaRefs>
</ds:datastoreItem>
</file>

<file path=customXml/itemProps4.xml><?xml version="1.0" encoding="utf-8"?>
<ds:datastoreItem xmlns:ds="http://schemas.openxmlformats.org/officeDocument/2006/customXml" ds:itemID="{D56A0001-8C05-4B9B-9B43-AF733C895ADE}">
  <ds:schemaRefs>
    <ds:schemaRef ds:uri="http://schemas.microsoft.com/office/2006/metadata/properties"/>
    <ds:schemaRef ds:uri="http://schemas.microsoft.com/office/infopath/2007/PartnerControls"/>
    <ds:schemaRef ds:uri="94f020f8-5d01-461d-8056-85bd07e0ced7"/>
  </ds:schemaRefs>
</ds:datastoreItem>
</file>

<file path=customXml/itemProps5.xml><?xml version="1.0" encoding="utf-8"?>
<ds:datastoreItem xmlns:ds="http://schemas.openxmlformats.org/officeDocument/2006/customXml" ds:itemID="{374AE2F5-D350-45BD-849C-C9EA21F67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f020f8-5d01-461d-8056-85bd07e0c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15</Pages>
  <Words>4577</Words>
  <Characters>26093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Discussion Paper Liquidity LCR FINAL</vt:lpstr>
    </vt:vector>
  </TitlesOfParts>
  <Company>Isle of Man Financial Services Authority</Company>
  <LinksUpToDate>false</LinksUpToDate>
  <CharactersWithSpaces>30609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Liquidity LCR FINAL</dc:title>
  <dc:subject/>
  <dc:creator>Kermode, Andrew</dc:creator>
  <cp:keywords/>
  <dc:description/>
  <cp:lastModifiedBy>Ward, Bradley</cp:lastModifiedBy>
  <cp:revision>71</cp:revision>
  <cp:lastPrinted>2016-01-26T11:17:00Z</cp:lastPrinted>
  <dcterms:created xsi:type="dcterms:W3CDTF">2025-05-22T15:13:00Z</dcterms:created>
  <dcterms:modified xsi:type="dcterms:W3CDTF">2025-07-22T11:13:00Z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0x0101000BE923759A44954D856837249B59CDE81F00CCA205DB7D768A42B014D36660696A4D</vt:lpwstr>
  </property>
  <property fmtid="{D5CDD505-2E9C-101B-9397-08002B2CF9AE}" pid="3" name="Document Sensitivity">
    <vt:lpwstr>Internal</vt:lpwstr>
  </property>
  <property fmtid="{D5CDD505-2E9C-101B-9397-08002B2CF9AE}" pid="4" name="Memo Recipient">
    <vt:lpwstr/>
  </property>
  <property fmtid="{D5CDD505-2E9C-101B-9397-08002B2CF9AE}" pid="5" name="Licensing Document Type">
    <vt:lpwstr/>
  </property>
  <property fmtid="{D5CDD505-2E9C-101B-9397-08002B2CF9AE}" pid="6" name="Memo Subject">
    <vt:lpwstr/>
  </property>
  <property fmtid="{D5CDD505-2E9C-101B-9397-08002B2CF9AE}" pid="7" name="Research Subject">
    <vt:lpwstr/>
  </property>
  <property fmtid="{D5CDD505-2E9C-101B-9397-08002B2CF9AE}" pid="8" name="FOI Document Type">
    <vt:lpwstr/>
  </property>
  <property fmtid="{D5CDD505-2E9C-101B-9397-08002B2CF9AE}" pid="9" name="Consultation Category">
    <vt:lpwstr/>
  </property>
  <property fmtid="{D5CDD505-2E9C-101B-9397-08002B2CF9AE}" pid="10" name="Year">
    <vt:lpwstr/>
  </property>
  <property fmtid="{D5CDD505-2E9C-101B-9397-08002B2CF9AE}" pid="11" name="Month">
    <vt:lpwstr/>
  </property>
  <property fmtid="{D5CDD505-2E9C-101B-9397-08002B2CF9AE}" pid="12" name="FSC Project Ref">
    <vt:lpwstr/>
  </property>
  <property fmtid="{D5CDD505-2E9C-101B-9397-08002B2CF9AE}" pid="13" name="Organisation">
    <vt:lpwstr/>
  </property>
  <property fmtid="{D5CDD505-2E9C-101B-9397-08002B2CF9AE}" pid="14" name="Delegated Authorities Doc Type">
    <vt:lpwstr/>
  </property>
  <property fmtid="{D5CDD505-2E9C-101B-9397-08002B2CF9AE}" pid="15" name="FSC Divisions">
    <vt:lpwstr/>
  </property>
  <property fmtid="{D5CDD505-2E9C-101B-9397-08002B2CF9AE}" pid="16" name="Subject of Act">
    <vt:lpwstr/>
  </property>
  <property fmtid="{D5CDD505-2E9C-101B-9397-08002B2CF9AE}" pid="17" name="Ops Category">
    <vt:lpwstr/>
  </property>
  <property fmtid="{D5CDD505-2E9C-101B-9397-08002B2CF9AE}" pid="18" name="DED Liaison Document">
    <vt:lpwstr/>
  </property>
  <property fmtid="{D5CDD505-2E9C-101B-9397-08002B2CF9AE}" pid="19" name="NFR Subject">
    <vt:lpwstr/>
  </property>
  <property fmtid="{D5CDD505-2E9C-101B-9397-08002B2CF9AE}" pid="20" name="Policy Review Type">
    <vt:lpwstr/>
  </property>
  <property fmtid="{D5CDD505-2E9C-101B-9397-08002B2CF9AE}" pid="21" name="Communication Category">
    <vt:lpwstr/>
  </property>
  <property fmtid="{D5CDD505-2E9C-101B-9397-08002B2CF9AE}" pid="22" name="Keeling Schedules version">
    <vt:lpwstr/>
  </property>
  <property fmtid="{D5CDD505-2E9C-101B-9397-08002B2CF9AE}" pid="23" name="MOU type">
    <vt:lpwstr/>
  </property>
  <property fmtid="{D5CDD505-2E9C-101B-9397-08002B2CF9AE}" pid="24" name="Country">
    <vt:lpwstr/>
  </property>
  <property fmtid="{D5CDD505-2E9C-101B-9397-08002B2CF9AE}" pid="25" name="Ref No.">
    <vt:lpwstr/>
  </property>
  <property fmtid="{D5CDD505-2E9C-101B-9397-08002B2CF9AE}" pid="26" name="Conference/Event type">
    <vt:lpwstr/>
  </property>
  <property fmtid="{D5CDD505-2E9C-101B-9397-08002B2CF9AE}" pid="27" name="Shared Policy Category">
    <vt:lpwstr/>
  </property>
  <property fmtid="{D5CDD505-2E9C-101B-9397-08002B2CF9AE}" pid="28" name="Act">
    <vt:lpwstr/>
  </property>
  <property fmtid="{D5CDD505-2E9C-101B-9397-08002B2CF9AE}" pid="29" name="Policy Document Category">
    <vt:lpwstr/>
  </property>
  <property fmtid="{D5CDD505-2E9C-101B-9397-08002B2CF9AE}" pid="30" name="Training Category">
    <vt:lpwstr/>
  </property>
  <property fmtid="{D5CDD505-2E9C-101B-9397-08002B2CF9AE}" pid="31" name="Document Owner">
    <vt:lpwstr>76;#Muscutt, Laura</vt:lpwstr>
  </property>
  <property fmtid="{D5CDD505-2E9C-101B-9397-08002B2CF9AE}" pid="32" name="Document Description">
    <vt:lpwstr>&lt;div&gt;&lt;/div&gt;</vt:lpwstr>
  </property>
</Properties>
</file>